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bidi w:val="0"/>
        <w:spacing w:line="360" w:lineRule="auto"/>
        <w:jc w:val="both"/>
        <w:textAlignment w:val="auto"/>
        <w:rPr>
          <w:b/>
          <w:bCs/>
          <w:sz w:val="20"/>
          <w:szCs w:val="20"/>
          <w:highlight w:val="none"/>
        </w:rPr>
      </w:pPr>
      <w:bookmarkStart w:id="0" w:name="_Toc26533_WPSOffice_Type1"/>
      <w:bookmarkEnd w:id="0"/>
      <w:bookmarkStart w:id="1" w:name="_Toc221949919"/>
      <w:r>
        <w:rPr>
          <w:rFonts w:hint="eastAsia" w:ascii="宋体" w:hAnsi="宋体"/>
          <w:b/>
          <w:bCs/>
          <w:sz w:val="56"/>
          <w:szCs w:val="56"/>
          <w:highlight w:val="none"/>
          <w:lang w:val="en-US" w:eastAsia="zh-CN"/>
        </w:rPr>
        <w:drawing>
          <wp:inline distT="0" distB="0" distL="114300" distR="114300">
            <wp:extent cx="6279515" cy="8013700"/>
            <wp:effectExtent l="0" t="0" r="6985" b="6350"/>
            <wp:docPr id="2" name="图片 2" descr="d4f732737e84d1fcc5075899bba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4f732737e84d1fcc5075899bba2923"/>
                    <pic:cNvPicPr>
                      <a:picLocks noChangeAspect="1"/>
                    </pic:cNvPicPr>
                  </pic:nvPicPr>
                  <pic:blipFill>
                    <a:blip r:embed="rId14"/>
                    <a:stretch>
                      <a:fillRect/>
                    </a:stretch>
                  </pic:blipFill>
                  <pic:spPr>
                    <a:xfrm>
                      <a:off x="0" y="0"/>
                      <a:ext cx="6279515" cy="8013700"/>
                    </a:xfrm>
                    <a:prstGeom prst="rect">
                      <a:avLst/>
                    </a:prstGeom>
                  </pic:spPr>
                </pic:pic>
              </a:graphicData>
            </a:graphic>
          </wp:inline>
        </w:drawing>
      </w:r>
    </w:p>
    <w:p>
      <w:pPr>
        <w:pageBreakBefore w:val="0"/>
        <w:widowControl/>
        <w:kinsoku/>
        <w:overflowPunct/>
        <w:bidi w:val="0"/>
        <w:spacing w:line="360" w:lineRule="auto"/>
        <w:jc w:val="left"/>
        <w:textAlignment w:val="auto"/>
        <w:rPr>
          <w:rFonts w:ascii="宋体" w:hAnsi="宋体" w:cs="宋体"/>
          <w:b/>
          <w:bCs/>
          <w:sz w:val="28"/>
          <w:szCs w:val="28"/>
          <w:highlight w:val="none"/>
        </w:rPr>
        <w:sectPr>
          <w:headerReference r:id="rId3" w:type="default"/>
          <w:pgSz w:w="11910" w:h="16840"/>
          <w:pgMar w:top="1440" w:right="1080" w:bottom="1440" w:left="1080" w:header="720" w:footer="720" w:gutter="0"/>
          <w:cols w:space="720" w:num="1"/>
          <w:titlePg/>
        </w:sectPr>
      </w:pPr>
    </w:p>
    <w:p>
      <w:pPr>
        <w:spacing w:line="1000" w:lineRule="exact"/>
        <w:jc w:val="center"/>
        <w:rPr>
          <w:rFonts w:hint="eastAsia" w:ascii="宋体"/>
          <w:b/>
          <w:color w:val="auto"/>
          <w:sz w:val="44"/>
          <w:szCs w:val="36"/>
          <w:highlight w:val="none"/>
        </w:rPr>
      </w:pPr>
      <w:r>
        <w:rPr>
          <w:rFonts w:hint="eastAsia" w:ascii="宋体"/>
          <w:b/>
          <w:color w:val="auto"/>
          <w:sz w:val="44"/>
          <w:szCs w:val="36"/>
          <w:highlight w:val="none"/>
        </w:rPr>
        <w:t>目   录</w:t>
      </w:r>
    </w:p>
    <w:p>
      <w:pPr>
        <w:tabs>
          <w:tab w:val="left" w:pos="6793"/>
        </w:tabs>
        <w:spacing w:line="360" w:lineRule="auto"/>
        <w:jc w:val="left"/>
        <w:rPr>
          <w:rFonts w:hint="eastAsia" w:ascii="宋体"/>
          <w:b/>
          <w:color w:val="auto"/>
          <w:sz w:val="44"/>
          <w:szCs w:val="36"/>
          <w:highlight w:val="none"/>
        </w:rPr>
      </w:pPr>
      <w:r>
        <w:rPr>
          <w:rFonts w:hint="eastAsia" w:ascii="宋体"/>
          <w:b/>
          <w:color w:val="auto"/>
          <w:sz w:val="44"/>
          <w:szCs w:val="36"/>
          <w:highlight w:val="none"/>
        </w:rPr>
        <w:tab/>
      </w:r>
    </w:p>
    <w:p>
      <w:pPr>
        <w:spacing w:line="360" w:lineRule="auto"/>
        <w:jc w:val="center"/>
        <w:rPr>
          <w:color w:val="auto"/>
          <w:highlight w:val="none"/>
        </w:rPr>
      </w:pPr>
      <w:r>
        <w:rPr>
          <w:rFonts w:hint="eastAsia" w:ascii="宋体"/>
          <w:color w:val="auto"/>
          <w:sz w:val="24"/>
          <w:highlight w:val="none"/>
        </w:rPr>
        <w:fldChar w:fldCharType="begin"/>
      </w:r>
      <w:r>
        <w:rPr>
          <w:rFonts w:hint="eastAsia" w:ascii="宋体"/>
          <w:color w:val="auto"/>
          <w:sz w:val="24"/>
          <w:highlight w:val="none"/>
        </w:rPr>
        <w:instrText xml:space="preserve"> TOC \o "1-3" \h \z \u </w:instrText>
      </w:r>
      <w:r>
        <w:rPr>
          <w:rFonts w:hint="eastAsia" w:ascii="宋体"/>
          <w:color w:val="auto"/>
          <w:sz w:val="24"/>
          <w:highlight w:val="none"/>
        </w:rPr>
        <w:fldChar w:fldCharType="separate"/>
      </w:r>
    </w:p>
    <w:p>
      <w:pPr>
        <w:pStyle w:val="23"/>
        <w:tabs>
          <w:tab w:val="right" w:leader="dot" w:pos="9185"/>
        </w:tabs>
        <w:spacing w:line="480" w:lineRule="auto"/>
        <w:rPr>
          <w:rFonts w:hint="eastAsia" w:ascii="宋体" w:cs="宋体"/>
          <w:color w:val="auto"/>
          <w:sz w:val="28"/>
          <w:szCs w:val="28"/>
          <w:highlight w:val="none"/>
          <w:lang w:bidi="ar-SA"/>
        </w:rPr>
      </w:pPr>
      <w:bookmarkStart w:id="2" w:name="_Toc9085_WPSOffice_Type1"/>
      <w:r>
        <w:rPr>
          <w:rFonts w:hint="eastAsia" w:ascii="宋体" w:cs="宋体"/>
          <w:color w:val="auto"/>
          <w:sz w:val="28"/>
          <w:szCs w:val="28"/>
          <w:highlight w:val="none"/>
          <w:lang w:bidi="ar-SA"/>
        </w:rPr>
        <w:fldChar w:fldCharType="begin"/>
      </w:r>
      <w:r>
        <w:rPr>
          <w:rFonts w:hint="eastAsia" w:ascii="宋体" w:cs="宋体"/>
          <w:color w:val="auto"/>
          <w:sz w:val="28"/>
          <w:szCs w:val="28"/>
          <w:highlight w:val="none"/>
          <w:lang w:bidi="ar-SA"/>
        </w:rPr>
        <w:instrText xml:space="preserve"> HYPERLINK \l _Toc174_WPSOffice_Level1 </w:instrText>
      </w:r>
      <w:r>
        <w:rPr>
          <w:rFonts w:hint="eastAsia" w:ascii="宋体" w:cs="宋体"/>
          <w:color w:val="auto"/>
          <w:sz w:val="28"/>
          <w:szCs w:val="28"/>
          <w:highlight w:val="none"/>
          <w:lang w:bidi="ar-SA"/>
        </w:rPr>
        <w:fldChar w:fldCharType="separate"/>
      </w:r>
      <w:r>
        <w:rPr>
          <w:rFonts w:hint="eastAsia" w:ascii="宋体" w:cs="宋体"/>
          <w:color w:val="auto"/>
          <w:sz w:val="28"/>
          <w:szCs w:val="28"/>
          <w:highlight w:val="none"/>
          <w:lang w:bidi="ar-SA"/>
        </w:rPr>
        <w:t>第一章 招标公告</w:t>
      </w:r>
      <w:r>
        <w:rPr>
          <w:rFonts w:hint="eastAsia" w:ascii="宋体" w:cs="宋体"/>
          <w:color w:val="auto"/>
          <w:sz w:val="28"/>
          <w:szCs w:val="28"/>
          <w:highlight w:val="none"/>
          <w:lang w:bidi="ar-SA"/>
        </w:rPr>
        <w:tab/>
      </w:r>
      <w:r>
        <w:rPr>
          <w:rFonts w:hint="eastAsia" w:ascii="宋体" w:cs="宋体"/>
          <w:color w:val="auto"/>
          <w:sz w:val="28"/>
          <w:szCs w:val="28"/>
          <w:highlight w:val="none"/>
          <w:lang w:val="en-US" w:eastAsia="zh-CN" w:bidi="ar-SA"/>
        </w:rPr>
        <w:t>2</w:t>
      </w:r>
      <w:r>
        <w:rPr>
          <w:rFonts w:hint="eastAsia" w:ascii="宋体" w:cs="宋体"/>
          <w:color w:val="auto"/>
          <w:sz w:val="28"/>
          <w:szCs w:val="28"/>
          <w:highlight w:val="none"/>
          <w:lang w:bidi="ar-SA"/>
        </w:rPr>
        <w:fldChar w:fldCharType="end"/>
      </w:r>
    </w:p>
    <w:p>
      <w:pPr>
        <w:pStyle w:val="23"/>
        <w:tabs>
          <w:tab w:val="right" w:leader="dot" w:pos="9185"/>
        </w:tabs>
        <w:spacing w:line="480" w:lineRule="auto"/>
        <w:rPr>
          <w:rFonts w:hint="eastAsia" w:ascii="宋体" w:cs="宋体"/>
          <w:color w:val="auto"/>
          <w:sz w:val="28"/>
          <w:szCs w:val="28"/>
          <w:highlight w:val="none"/>
          <w:lang w:bidi="ar-SA"/>
        </w:rPr>
      </w:pPr>
      <w:r>
        <w:rPr>
          <w:color w:val="auto"/>
          <w:highlight w:val="none"/>
        </w:rPr>
        <w:fldChar w:fldCharType="begin"/>
      </w:r>
      <w:r>
        <w:rPr>
          <w:color w:val="auto"/>
          <w:highlight w:val="none"/>
        </w:rPr>
        <w:instrText xml:space="preserve"> HYPERLINK \l "_Toc24785_WPSOffice_Level1" </w:instrText>
      </w:r>
      <w:r>
        <w:rPr>
          <w:color w:val="auto"/>
          <w:highlight w:val="none"/>
        </w:rPr>
        <w:fldChar w:fldCharType="separate"/>
      </w:r>
      <w:r>
        <w:rPr>
          <w:rFonts w:hint="eastAsia" w:ascii="宋体" w:cs="宋体"/>
          <w:color w:val="auto"/>
          <w:sz w:val="28"/>
          <w:szCs w:val="28"/>
          <w:highlight w:val="none"/>
          <w:lang w:bidi="ar-SA"/>
        </w:rPr>
        <w:t>第二章 投标人须知</w:t>
      </w:r>
      <w:r>
        <w:rPr>
          <w:rFonts w:hint="eastAsia" w:ascii="宋体" w:cs="宋体"/>
          <w:color w:val="auto"/>
          <w:sz w:val="28"/>
          <w:szCs w:val="28"/>
          <w:highlight w:val="none"/>
          <w:lang w:bidi="ar-SA"/>
        </w:rPr>
        <w:tab/>
      </w:r>
      <w:r>
        <w:rPr>
          <w:rFonts w:hint="eastAsia" w:ascii="宋体" w:cs="宋体"/>
          <w:color w:val="auto"/>
          <w:sz w:val="28"/>
          <w:szCs w:val="28"/>
          <w:highlight w:val="none"/>
          <w:lang w:val="en-US" w:eastAsia="zh-CN" w:bidi="ar-SA"/>
        </w:rPr>
        <w:t>7</w:t>
      </w:r>
      <w:r>
        <w:rPr>
          <w:rFonts w:hint="eastAsia" w:ascii="宋体" w:cs="宋体"/>
          <w:color w:val="auto"/>
          <w:sz w:val="28"/>
          <w:szCs w:val="28"/>
          <w:highlight w:val="none"/>
          <w:lang w:bidi="ar-SA"/>
        </w:rPr>
        <w:fldChar w:fldCharType="end"/>
      </w:r>
    </w:p>
    <w:p>
      <w:pPr>
        <w:pStyle w:val="23"/>
        <w:tabs>
          <w:tab w:val="right" w:leader="dot" w:pos="9185"/>
        </w:tabs>
        <w:spacing w:line="480" w:lineRule="auto"/>
        <w:rPr>
          <w:rFonts w:hint="eastAsia" w:ascii="宋体" w:eastAsia="宋体" w:cs="宋体"/>
          <w:color w:val="auto"/>
          <w:sz w:val="28"/>
          <w:szCs w:val="28"/>
          <w:highlight w:val="none"/>
          <w:lang w:val="en-US" w:eastAsia="zh-CN" w:bidi="ar-SA"/>
        </w:rPr>
      </w:pPr>
      <w:r>
        <w:rPr>
          <w:color w:val="auto"/>
          <w:highlight w:val="none"/>
        </w:rPr>
        <w:fldChar w:fldCharType="begin"/>
      </w:r>
      <w:r>
        <w:rPr>
          <w:color w:val="auto"/>
          <w:highlight w:val="none"/>
        </w:rPr>
        <w:instrText xml:space="preserve"> HYPERLINK \l "_Toc3251_WPSOffice_Level1" </w:instrText>
      </w:r>
      <w:r>
        <w:rPr>
          <w:color w:val="auto"/>
          <w:highlight w:val="none"/>
        </w:rPr>
        <w:fldChar w:fldCharType="separate"/>
      </w:r>
      <w:r>
        <w:rPr>
          <w:rFonts w:hint="eastAsia" w:ascii="宋体" w:cs="宋体"/>
          <w:color w:val="auto"/>
          <w:sz w:val="28"/>
          <w:szCs w:val="28"/>
          <w:highlight w:val="none"/>
          <w:lang w:bidi="ar-SA"/>
        </w:rPr>
        <w:t>第三章 评标办法</w:t>
      </w:r>
      <w:r>
        <w:rPr>
          <w:rFonts w:hint="eastAsia" w:ascii="宋体" w:cs="宋体"/>
          <w:color w:val="auto"/>
          <w:sz w:val="28"/>
          <w:szCs w:val="28"/>
          <w:highlight w:val="none"/>
          <w:lang w:bidi="ar-SA"/>
        </w:rPr>
        <w:tab/>
      </w:r>
      <w:r>
        <w:rPr>
          <w:rFonts w:hint="eastAsia" w:ascii="宋体" w:cs="宋体"/>
          <w:color w:val="auto"/>
          <w:sz w:val="28"/>
          <w:szCs w:val="28"/>
          <w:highlight w:val="none"/>
          <w:lang w:val="en-US" w:eastAsia="zh-CN" w:bidi="ar-SA"/>
        </w:rPr>
        <w:t>2</w:t>
      </w:r>
      <w:r>
        <w:rPr>
          <w:rFonts w:hint="eastAsia" w:ascii="宋体" w:cs="宋体"/>
          <w:color w:val="auto"/>
          <w:sz w:val="28"/>
          <w:szCs w:val="28"/>
          <w:highlight w:val="none"/>
          <w:lang w:bidi="ar-SA"/>
        </w:rPr>
        <w:fldChar w:fldCharType="end"/>
      </w:r>
      <w:r>
        <w:rPr>
          <w:rFonts w:hint="eastAsia" w:ascii="宋体" w:cs="宋体"/>
          <w:color w:val="auto"/>
          <w:sz w:val="28"/>
          <w:szCs w:val="28"/>
          <w:highlight w:val="none"/>
          <w:lang w:val="en-US" w:eastAsia="zh-CN" w:bidi="ar-SA"/>
        </w:rPr>
        <w:t>7</w:t>
      </w:r>
    </w:p>
    <w:p>
      <w:pPr>
        <w:pStyle w:val="23"/>
        <w:tabs>
          <w:tab w:val="right" w:leader="dot" w:pos="9185"/>
        </w:tabs>
        <w:spacing w:line="480" w:lineRule="auto"/>
        <w:rPr>
          <w:rFonts w:hint="eastAsia" w:ascii="宋体" w:eastAsia="宋体" w:cs="宋体"/>
          <w:color w:val="auto"/>
          <w:sz w:val="28"/>
          <w:szCs w:val="28"/>
          <w:highlight w:val="none"/>
          <w:lang w:val="en-US" w:eastAsia="zh-CN" w:bidi="ar-SA"/>
        </w:rPr>
      </w:pPr>
      <w:r>
        <w:rPr>
          <w:color w:val="auto"/>
          <w:highlight w:val="none"/>
        </w:rPr>
        <w:fldChar w:fldCharType="begin"/>
      </w:r>
      <w:r>
        <w:rPr>
          <w:color w:val="auto"/>
          <w:highlight w:val="none"/>
        </w:rPr>
        <w:instrText xml:space="preserve"> HYPERLINK \l "_Toc27547_WPSOffice_Level1" </w:instrText>
      </w:r>
      <w:r>
        <w:rPr>
          <w:color w:val="auto"/>
          <w:highlight w:val="none"/>
        </w:rPr>
        <w:fldChar w:fldCharType="separate"/>
      </w:r>
      <w:r>
        <w:rPr>
          <w:rFonts w:hint="eastAsia" w:ascii="宋体" w:cs="宋体"/>
          <w:color w:val="auto"/>
          <w:sz w:val="28"/>
          <w:szCs w:val="28"/>
          <w:highlight w:val="none"/>
          <w:lang w:bidi="ar-SA"/>
        </w:rPr>
        <w:t>第四章 合同条款及格式</w:t>
      </w:r>
      <w:r>
        <w:rPr>
          <w:rFonts w:hint="eastAsia" w:ascii="宋体" w:cs="宋体"/>
          <w:color w:val="auto"/>
          <w:sz w:val="28"/>
          <w:szCs w:val="28"/>
          <w:highlight w:val="none"/>
          <w:lang w:bidi="ar-SA"/>
        </w:rPr>
        <w:tab/>
      </w:r>
      <w:r>
        <w:rPr>
          <w:rFonts w:hint="eastAsia" w:ascii="宋体" w:cs="宋体"/>
          <w:color w:val="auto"/>
          <w:sz w:val="28"/>
          <w:szCs w:val="28"/>
          <w:highlight w:val="none"/>
          <w:lang w:val="en-US" w:eastAsia="zh-CN" w:bidi="ar-SA"/>
        </w:rPr>
        <w:t>3</w:t>
      </w:r>
      <w:r>
        <w:rPr>
          <w:rFonts w:hint="eastAsia" w:ascii="宋体" w:cs="宋体"/>
          <w:color w:val="auto"/>
          <w:sz w:val="28"/>
          <w:szCs w:val="28"/>
          <w:highlight w:val="none"/>
          <w:lang w:bidi="ar-SA"/>
        </w:rPr>
        <w:fldChar w:fldCharType="end"/>
      </w:r>
      <w:r>
        <w:rPr>
          <w:rFonts w:hint="eastAsia" w:ascii="宋体" w:cs="宋体"/>
          <w:color w:val="auto"/>
          <w:sz w:val="28"/>
          <w:szCs w:val="28"/>
          <w:highlight w:val="none"/>
          <w:lang w:val="en-US" w:eastAsia="zh-CN" w:bidi="ar-SA"/>
        </w:rPr>
        <w:t>5</w:t>
      </w:r>
    </w:p>
    <w:p>
      <w:pPr>
        <w:pStyle w:val="23"/>
        <w:tabs>
          <w:tab w:val="right" w:leader="dot" w:pos="9185"/>
        </w:tabs>
        <w:spacing w:line="480" w:lineRule="auto"/>
        <w:rPr>
          <w:rFonts w:hint="eastAsia" w:ascii="宋体" w:cs="宋体"/>
          <w:color w:val="auto"/>
          <w:sz w:val="28"/>
          <w:szCs w:val="28"/>
          <w:highlight w:val="none"/>
          <w:lang w:val="en-US" w:eastAsia="zh-CN" w:bidi="ar-SA"/>
        </w:rPr>
      </w:pPr>
      <w:r>
        <w:rPr>
          <w:color w:val="auto"/>
          <w:highlight w:val="none"/>
        </w:rPr>
        <w:fldChar w:fldCharType="begin"/>
      </w:r>
      <w:r>
        <w:rPr>
          <w:color w:val="auto"/>
          <w:highlight w:val="none"/>
        </w:rPr>
        <w:instrText xml:space="preserve"> HYPERLINK \l "_Toc4326_WPSOffice_Level1" </w:instrText>
      </w:r>
      <w:r>
        <w:rPr>
          <w:color w:val="auto"/>
          <w:highlight w:val="none"/>
        </w:rPr>
        <w:fldChar w:fldCharType="separate"/>
      </w:r>
      <w:r>
        <w:rPr>
          <w:rFonts w:hint="eastAsia" w:ascii="宋体" w:cs="宋体"/>
          <w:color w:val="auto"/>
          <w:sz w:val="28"/>
          <w:szCs w:val="28"/>
          <w:highlight w:val="none"/>
          <w:lang w:bidi="ar-SA"/>
        </w:rPr>
        <w:t>第五章  工程量清单</w:t>
      </w:r>
      <w:r>
        <w:rPr>
          <w:rFonts w:hint="eastAsia" w:ascii="宋体" w:cs="宋体"/>
          <w:color w:val="auto"/>
          <w:sz w:val="28"/>
          <w:szCs w:val="28"/>
          <w:highlight w:val="none"/>
          <w:lang w:bidi="ar-SA"/>
        </w:rPr>
        <w:tab/>
      </w:r>
      <w:r>
        <w:rPr>
          <w:rFonts w:hint="eastAsia" w:ascii="宋体" w:cs="宋体"/>
          <w:color w:val="auto"/>
          <w:sz w:val="28"/>
          <w:szCs w:val="28"/>
          <w:highlight w:val="none"/>
          <w:lang w:val="en-US" w:eastAsia="zh-CN" w:bidi="ar-SA"/>
        </w:rPr>
        <w:t>5</w:t>
      </w:r>
      <w:r>
        <w:rPr>
          <w:rFonts w:hint="eastAsia" w:ascii="宋体" w:cs="宋体"/>
          <w:color w:val="auto"/>
          <w:sz w:val="28"/>
          <w:szCs w:val="28"/>
          <w:highlight w:val="none"/>
          <w:lang w:bidi="ar-SA"/>
        </w:rPr>
        <w:fldChar w:fldCharType="end"/>
      </w:r>
      <w:r>
        <w:rPr>
          <w:rFonts w:hint="eastAsia" w:ascii="宋体" w:cs="宋体"/>
          <w:color w:val="auto"/>
          <w:sz w:val="28"/>
          <w:szCs w:val="28"/>
          <w:highlight w:val="none"/>
          <w:lang w:val="en-US" w:eastAsia="zh-CN" w:bidi="ar-SA"/>
        </w:rPr>
        <w:t>7</w:t>
      </w:r>
    </w:p>
    <w:p>
      <w:pPr>
        <w:pStyle w:val="23"/>
        <w:tabs>
          <w:tab w:val="right" w:leader="dot" w:pos="9185"/>
        </w:tabs>
        <w:spacing w:line="480" w:lineRule="auto"/>
        <w:rPr>
          <w:rFonts w:hint="eastAsia" w:ascii="宋体" w:eastAsia="宋体" w:cs="宋体"/>
          <w:color w:val="auto"/>
          <w:sz w:val="28"/>
          <w:szCs w:val="28"/>
          <w:highlight w:val="none"/>
          <w:lang w:val="en-US" w:eastAsia="zh-CN" w:bidi="ar-SA"/>
        </w:rPr>
      </w:pPr>
      <w:r>
        <w:rPr>
          <w:color w:val="auto"/>
          <w:highlight w:val="none"/>
        </w:rPr>
        <w:fldChar w:fldCharType="begin"/>
      </w:r>
      <w:r>
        <w:rPr>
          <w:color w:val="auto"/>
          <w:highlight w:val="none"/>
        </w:rPr>
        <w:instrText xml:space="preserve"> HYPERLINK \l "_Toc24042_WPSOffice_Level1" </w:instrText>
      </w:r>
      <w:r>
        <w:rPr>
          <w:color w:val="auto"/>
          <w:highlight w:val="none"/>
        </w:rPr>
        <w:fldChar w:fldCharType="separate"/>
      </w:r>
      <w:r>
        <w:rPr>
          <w:rFonts w:hint="eastAsia" w:ascii="宋体" w:cs="宋体"/>
          <w:color w:val="auto"/>
          <w:sz w:val="28"/>
          <w:szCs w:val="28"/>
          <w:highlight w:val="none"/>
          <w:lang w:bidi="ar-SA"/>
        </w:rPr>
        <w:t>第六章  图 纸（另附）</w:t>
      </w:r>
      <w:r>
        <w:rPr>
          <w:rFonts w:hint="eastAsia" w:ascii="宋体" w:cs="宋体"/>
          <w:color w:val="auto"/>
          <w:sz w:val="28"/>
          <w:szCs w:val="28"/>
          <w:highlight w:val="none"/>
          <w:lang w:bidi="ar-SA"/>
        </w:rPr>
        <w:tab/>
      </w:r>
      <w:r>
        <w:rPr>
          <w:rFonts w:hint="eastAsia" w:ascii="宋体" w:cs="宋体"/>
          <w:color w:val="auto"/>
          <w:sz w:val="28"/>
          <w:szCs w:val="28"/>
          <w:highlight w:val="none"/>
          <w:lang w:val="en-US" w:eastAsia="zh-CN" w:bidi="ar-SA"/>
        </w:rPr>
        <w:t>5</w:t>
      </w:r>
      <w:r>
        <w:rPr>
          <w:rFonts w:hint="eastAsia" w:ascii="宋体" w:cs="宋体"/>
          <w:color w:val="auto"/>
          <w:sz w:val="28"/>
          <w:szCs w:val="28"/>
          <w:highlight w:val="none"/>
          <w:lang w:bidi="ar-SA"/>
        </w:rPr>
        <w:fldChar w:fldCharType="end"/>
      </w:r>
      <w:r>
        <w:rPr>
          <w:rFonts w:hint="eastAsia" w:ascii="宋体" w:cs="宋体"/>
          <w:color w:val="auto"/>
          <w:sz w:val="28"/>
          <w:szCs w:val="28"/>
          <w:highlight w:val="none"/>
          <w:lang w:val="en-US" w:eastAsia="zh-CN" w:bidi="ar-SA"/>
        </w:rPr>
        <w:t>8</w:t>
      </w:r>
    </w:p>
    <w:p>
      <w:pPr>
        <w:pStyle w:val="23"/>
        <w:tabs>
          <w:tab w:val="right" w:leader="dot" w:pos="9185"/>
        </w:tabs>
        <w:spacing w:line="480" w:lineRule="auto"/>
        <w:rPr>
          <w:rFonts w:hint="eastAsia" w:ascii="宋体" w:cs="宋体"/>
          <w:color w:val="auto"/>
          <w:sz w:val="28"/>
          <w:szCs w:val="28"/>
          <w:highlight w:val="none"/>
          <w:lang w:val="en-US" w:eastAsia="zh-CN" w:bidi="ar-SA"/>
        </w:rPr>
      </w:pPr>
      <w:r>
        <w:rPr>
          <w:color w:val="auto"/>
          <w:highlight w:val="none"/>
        </w:rPr>
        <w:fldChar w:fldCharType="begin"/>
      </w:r>
      <w:r>
        <w:rPr>
          <w:color w:val="auto"/>
          <w:highlight w:val="none"/>
        </w:rPr>
        <w:instrText xml:space="preserve"> HYPERLINK \l "_Toc30564_WPSOffice_Level1" </w:instrText>
      </w:r>
      <w:r>
        <w:rPr>
          <w:color w:val="auto"/>
          <w:highlight w:val="none"/>
        </w:rPr>
        <w:fldChar w:fldCharType="separate"/>
      </w:r>
      <w:r>
        <w:rPr>
          <w:rFonts w:hint="eastAsia" w:ascii="宋体" w:cs="宋体"/>
          <w:color w:val="auto"/>
          <w:sz w:val="28"/>
          <w:szCs w:val="28"/>
          <w:highlight w:val="none"/>
          <w:lang w:bidi="ar-SA"/>
        </w:rPr>
        <w:t>第七章  技术标准和要求</w:t>
      </w:r>
      <w:r>
        <w:rPr>
          <w:rFonts w:hint="eastAsia" w:ascii="宋体" w:cs="宋体"/>
          <w:color w:val="auto"/>
          <w:sz w:val="28"/>
          <w:szCs w:val="28"/>
          <w:highlight w:val="none"/>
          <w:lang w:bidi="ar-SA"/>
        </w:rPr>
        <w:tab/>
      </w:r>
      <w:r>
        <w:rPr>
          <w:rFonts w:hint="eastAsia" w:ascii="宋体" w:cs="宋体"/>
          <w:color w:val="auto"/>
          <w:sz w:val="28"/>
          <w:szCs w:val="28"/>
          <w:highlight w:val="none"/>
          <w:lang w:val="en-US" w:eastAsia="zh-CN" w:bidi="ar-SA"/>
        </w:rPr>
        <w:t>5</w:t>
      </w:r>
      <w:r>
        <w:rPr>
          <w:rFonts w:hint="eastAsia" w:ascii="宋体" w:cs="宋体"/>
          <w:color w:val="auto"/>
          <w:sz w:val="28"/>
          <w:szCs w:val="28"/>
          <w:highlight w:val="none"/>
          <w:lang w:bidi="ar-SA"/>
        </w:rPr>
        <w:fldChar w:fldCharType="end"/>
      </w:r>
      <w:r>
        <w:rPr>
          <w:rFonts w:hint="eastAsia" w:ascii="宋体" w:cs="宋体"/>
          <w:color w:val="auto"/>
          <w:sz w:val="28"/>
          <w:szCs w:val="28"/>
          <w:highlight w:val="none"/>
          <w:lang w:val="en-US" w:eastAsia="zh-CN" w:bidi="ar-SA"/>
        </w:rPr>
        <w:t>9</w:t>
      </w:r>
    </w:p>
    <w:p>
      <w:pPr>
        <w:pStyle w:val="23"/>
        <w:tabs>
          <w:tab w:val="right" w:leader="dot" w:pos="9185"/>
        </w:tabs>
        <w:spacing w:line="480" w:lineRule="auto"/>
        <w:rPr>
          <w:rFonts w:hint="default" w:ascii="宋体" w:eastAsia="宋体" w:cs="宋体"/>
          <w:color w:val="auto"/>
          <w:sz w:val="28"/>
          <w:szCs w:val="28"/>
          <w:highlight w:val="none"/>
          <w:lang w:val="en-US" w:eastAsia="zh-CN" w:bidi="ar-SA"/>
        </w:rPr>
      </w:pPr>
      <w:r>
        <w:rPr>
          <w:color w:val="auto"/>
          <w:highlight w:val="none"/>
        </w:rPr>
        <w:fldChar w:fldCharType="begin"/>
      </w:r>
      <w:r>
        <w:rPr>
          <w:color w:val="auto"/>
          <w:highlight w:val="none"/>
        </w:rPr>
        <w:instrText xml:space="preserve"> HYPERLINK \l "_Toc17370_WPSOffice_Level1" </w:instrText>
      </w:r>
      <w:r>
        <w:rPr>
          <w:color w:val="auto"/>
          <w:highlight w:val="none"/>
        </w:rPr>
        <w:fldChar w:fldCharType="separate"/>
      </w:r>
      <w:r>
        <w:rPr>
          <w:rFonts w:hint="eastAsia" w:ascii="宋体" w:cs="宋体"/>
          <w:color w:val="auto"/>
          <w:sz w:val="28"/>
          <w:szCs w:val="28"/>
          <w:highlight w:val="none"/>
          <w:lang w:bidi="ar-SA"/>
        </w:rPr>
        <w:t>第八章  投标文件格式</w:t>
      </w:r>
      <w:r>
        <w:rPr>
          <w:rFonts w:hint="eastAsia" w:ascii="宋体" w:cs="宋体"/>
          <w:color w:val="auto"/>
          <w:sz w:val="28"/>
          <w:szCs w:val="28"/>
          <w:highlight w:val="none"/>
          <w:lang w:bidi="ar-SA"/>
        </w:rPr>
        <w:tab/>
      </w:r>
      <w:r>
        <w:rPr>
          <w:rFonts w:hint="eastAsia" w:ascii="宋体" w:cs="宋体"/>
          <w:color w:val="auto"/>
          <w:sz w:val="28"/>
          <w:szCs w:val="28"/>
          <w:highlight w:val="none"/>
          <w:lang w:bidi="ar-SA"/>
        </w:rPr>
        <w:fldChar w:fldCharType="end"/>
      </w:r>
      <w:r>
        <w:rPr>
          <w:rFonts w:hint="eastAsia" w:ascii="宋体" w:cs="宋体"/>
          <w:color w:val="auto"/>
          <w:sz w:val="28"/>
          <w:szCs w:val="28"/>
          <w:highlight w:val="none"/>
          <w:lang w:val="en-US" w:eastAsia="zh-CN" w:bidi="ar-SA"/>
        </w:rPr>
        <w:t>60</w:t>
      </w:r>
    </w:p>
    <w:bookmarkEnd w:id="2"/>
    <w:p>
      <w:pPr>
        <w:pStyle w:val="23"/>
        <w:tabs>
          <w:tab w:val="right" w:leader="dot" w:pos="9185"/>
        </w:tabs>
        <w:spacing w:line="480" w:lineRule="auto"/>
        <w:rPr>
          <w:rFonts w:hint="eastAsia" w:ascii="宋体" w:cs="宋体"/>
          <w:color w:val="auto"/>
          <w:sz w:val="24"/>
          <w:szCs w:val="24"/>
          <w:highlight w:val="none"/>
          <w:lang w:bidi="ar-SA"/>
        </w:rPr>
      </w:pPr>
    </w:p>
    <w:p>
      <w:pPr>
        <w:spacing w:line="480" w:lineRule="auto"/>
        <w:rPr>
          <w:color w:val="auto"/>
          <w:highlight w:val="none"/>
        </w:rPr>
      </w:pPr>
    </w:p>
    <w:p>
      <w:pPr>
        <w:pStyle w:val="17"/>
        <w:spacing w:line="600" w:lineRule="auto"/>
        <w:ind w:left="0"/>
        <w:rPr>
          <w:rFonts w:hint="eastAsia" w:ascii="宋体"/>
          <w:color w:val="auto"/>
          <w:sz w:val="32"/>
          <w:szCs w:val="32"/>
          <w:highlight w:val="none"/>
        </w:rPr>
      </w:pPr>
    </w:p>
    <w:p>
      <w:pPr>
        <w:pStyle w:val="17"/>
        <w:spacing w:line="440" w:lineRule="exact"/>
        <w:ind w:left="0"/>
        <w:rPr>
          <w:rFonts w:hint="eastAsia" w:ascii="宋体"/>
          <w:color w:val="auto"/>
          <w:sz w:val="24"/>
          <w:highlight w:val="none"/>
          <w:u w:val="single"/>
        </w:rPr>
      </w:pPr>
    </w:p>
    <w:p>
      <w:pPr>
        <w:tabs>
          <w:tab w:val="left" w:pos="2531"/>
        </w:tabs>
        <w:spacing w:line="400" w:lineRule="atLeast"/>
        <w:ind w:firstLine="402"/>
        <w:rPr>
          <w:rFonts w:hint="eastAsia" w:ascii="宋体"/>
          <w:color w:val="auto"/>
          <w:sz w:val="24"/>
          <w:highlight w:val="none"/>
        </w:rPr>
        <w:sectPr>
          <w:headerReference r:id="rId5" w:type="first"/>
          <w:footerReference r:id="rId7" w:type="first"/>
          <w:headerReference r:id="rId4" w:type="default"/>
          <w:footerReference r:id="rId6" w:type="default"/>
          <w:pgSz w:w="11907" w:h="16840"/>
          <w:pgMar w:top="1440" w:right="1080" w:bottom="1440" w:left="1080" w:header="850" w:footer="992" w:gutter="0"/>
          <w:pgNumType w:fmt="decimal" w:start="1"/>
          <w:cols w:space="720" w:num="1"/>
          <w:titlePg/>
          <w:docGrid w:linePitch="326" w:charSpace="0"/>
        </w:sectPr>
      </w:pPr>
      <w:r>
        <w:rPr>
          <w:rFonts w:hint="eastAsia" w:ascii="宋体"/>
          <w:color w:val="auto"/>
          <w:sz w:val="24"/>
          <w:highlight w:val="none"/>
        </w:rPr>
        <w:fldChar w:fldCharType="end"/>
      </w:r>
      <w:r>
        <w:rPr>
          <w:rFonts w:hint="eastAsia" w:ascii="宋体"/>
          <w:color w:val="auto"/>
          <w:sz w:val="24"/>
          <w:highlight w:val="none"/>
        </w:rPr>
        <w:tab/>
      </w:r>
    </w:p>
    <w:bookmarkEnd w:id="1"/>
    <w:p>
      <w:pPr>
        <w:pStyle w:val="8"/>
        <w:spacing w:line="400" w:lineRule="exact"/>
        <w:jc w:val="center"/>
        <w:rPr>
          <w:rFonts w:hint="eastAsia" w:ascii="黑体" w:eastAsia="黑体"/>
          <w:b w:val="0"/>
          <w:color w:val="auto"/>
          <w:szCs w:val="52"/>
          <w:highlight w:val="none"/>
        </w:rPr>
      </w:pPr>
      <w:bookmarkStart w:id="3" w:name="_Toc259707282"/>
      <w:bookmarkStart w:id="4" w:name="_Toc174_WPSOffice_Level1"/>
      <w:bookmarkStart w:id="5" w:name="_Toc448154681"/>
      <w:r>
        <w:rPr>
          <w:rFonts w:hint="eastAsia" w:ascii="黑体" w:eastAsia="黑体"/>
          <w:b w:val="0"/>
          <w:color w:val="auto"/>
          <w:szCs w:val="52"/>
          <w:highlight w:val="none"/>
        </w:rPr>
        <w:t xml:space="preserve">第一章 </w:t>
      </w:r>
      <w:bookmarkEnd w:id="3"/>
      <w:r>
        <w:rPr>
          <w:rFonts w:hint="eastAsia" w:ascii="黑体" w:eastAsia="黑体"/>
          <w:b w:val="0"/>
          <w:color w:val="auto"/>
          <w:szCs w:val="52"/>
          <w:highlight w:val="none"/>
        </w:rPr>
        <w:t>招标公告</w:t>
      </w:r>
      <w:bookmarkEnd w:id="4"/>
      <w:bookmarkEnd w:id="5"/>
    </w:p>
    <w:p>
      <w:pPr>
        <w:bidi w:val="0"/>
        <w:jc w:val="center"/>
        <w:rPr>
          <w:rFonts w:hint="eastAsia" w:ascii="宋体" w:cs="宋体"/>
          <w:b/>
          <w:bCs/>
          <w:color w:val="auto"/>
          <w:sz w:val="36"/>
          <w:szCs w:val="36"/>
          <w:highlight w:val="none"/>
          <w:lang w:eastAsia="zh-CN" w:bidi="ar-SA"/>
        </w:rPr>
      </w:pPr>
      <w:bookmarkStart w:id="6" w:name="_Toc448154682"/>
      <w:bookmarkStart w:id="7" w:name="_Toc24785_WPSOffice_Level1"/>
      <w:r>
        <w:rPr>
          <w:rFonts w:hint="eastAsia"/>
          <w:b/>
          <w:bCs/>
          <w:color w:val="auto"/>
          <w:sz w:val="36"/>
          <w:szCs w:val="36"/>
          <w:highlight w:val="none"/>
          <w:lang w:eastAsia="zh-CN"/>
        </w:rPr>
        <w:t>平顶山东部客运枢纽站项目施工及监理</w:t>
      </w:r>
      <w:r>
        <w:rPr>
          <w:rFonts w:hint="eastAsia" w:ascii="宋体" w:cs="宋体"/>
          <w:b/>
          <w:bCs/>
          <w:color w:val="auto"/>
          <w:sz w:val="36"/>
          <w:szCs w:val="36"/>
          <w:highlight w:val="none"/>
          <w:lang w:eastAsia="zh-CN" w:bidi="ar-SA"/>
        </w:rPr>
        <w:t>-公开招标公告</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b w:val="0"/>
          <w:bCs w:val="0"/>
          <w:color w:val="auto"/>
          <w:sz w:val="21"/>
          <w:szCs w:val="21"/>
          <w:highlight w:val="none"/>
          <w:lang w:eastAsia="zh-CN"/>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b w:val="0"/>
          <w:bCs w:val="0"/>
          <w:color w:val="auto"/>
          <w:sz w:val="21"/>
          <w:szCs w:val="21"/>
          <w:highlight w:val="none"/>
          <w:lang w:eastAsia="zh-CN"/>
        </w:rPr>
      </w:pPr>
      <w:r>
        <w:rPr>
          <w:rFonts w:hint="eastAsia" w:ascii="宋体" w:hAnsi="宋体"/>
          <w:b w:val="0"/>
          <w:bCs w:val="0"/>
          <w:color w:val="auto"/>
          <w:sz w:val="21"/>
          <w:szCs w:val="21"/>
          <w:highlight w:val="none"/>
          <w:lang w:eastAsia="zh-CN"/>
        </w:rPr>
        <w:t>项目概况</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b w:val="0"/>
          <w:bCs w:val="0"/>
          <w:color w:val="auto"/>
          <w:sz w:val="21"/>
          <w:szCs w:val="21"/>
          <w:highlight w:val="none"/>
          <w:lang w:val="en-US" w:eastAsia="zh-CN"/>
        </w:rPr>
      </w:pPr>
      <w:r>
        <w:rPr>
          <w:rFonts w:hint="eastAsia" w:ascii="宋体" w:hAnsi="宋体" w:eastAsia="宋体"/>
          <w:b w:val="0"/>
          <w:bCs w:val="0"/>
          <w:color w:val="auto"/>
          <w:sz w:val="21"/>
          <w:szCs w:val="21"/>
          <w:highlight w:val="none"/>
          <w:lang w:val="en-US" w:eastAsia="zh-CN"/>
        </w:rPr>
        <w:t>河南财锐工程咨询服务有限公司受</w:t>
      </w:r>
      <w:r>
        <w:rPr>
          <w:rFonts w:hint="eastAsia" w:ascii="宋体" w:hAnsi="宋体"/>
          <w:b w:val="0"/>
          <w:bCs w:val="0"/>
          <w:color w:val="auto"/>
          <w:sz w:val="21"/>
          <w:szCs w:val="21"/>
          <w:highlight w:val="none"/>
          <w:lang w:val="en-US" w:eastAsia="zh-CN"/>
        </w:rPr>
        <w:t>平顶山交通水利建设投资有限公司</w:t>
      </w:r>
      <w:r>
        <w:rPr>
          <w:rFonts w:hint="eastAsia" w:ascii="宋体" w:hAnsi="宋体" w:eastAsia="宋体"/>
          <w:b w:val="0"/>
          <w:bCs w:val="0"/>
          <w:color w:val="auto"/>
          <w:sz w:val="21"/>
          <w:szCs w:val="21"/>
          <w:highlight w:val="none"/>
          <w:lang w:val="en-US" w:eastAsia="zh-CN"/>
        </w:rPr>
        <w:t>的委托，现对</w:t>
      </w:r>
      <w:r>
        <w:rPr>
          <w:rFonts w:hint="eastAsia" w:ascii="宋体" w:hAnsi="宋体"/>
          <w:b w:val="0"/>
          <w:bCs w:val="0"/>
          <w:color w:val="auto"/>
          <w:sz w:val="21"/>
          <w:szCs w:val="21"/>
          <w:highlight w:val="none"/>
          <w:lang w:val="en-US" w:eastAsia="zh-CN"/>
        </w:rPr>
        <w:t>平顶山东部客运枢纽站项目施工及监理</w:t>
      </w:r>
      <w:r>
        <w:rPr>
          <w:rFonts w:hint="eastAsia" w:ascii="宋体" w:hAnsi="宋体" w:eastAsia="宋体"/>
          <w:b w:val="0"/>
          <w:bCs w:val="0"/>
          <w:color w:val="auto"/>
          <w:sz w:val="21"/>
          <w:szCs w:val="21"/>
          <w:highlight w:val="none"/>
          <w:lang w:val="en-US" w:eastAsia="zh-CN"/>
        </w:rPr>
        <w:t>进行公开招标，欢迎符合条件的潜在投标人参加投标。潜在投标人应在平顶山市公共资源交易中心网(http://www.pdsggzy.com/)获取招标文件，并于20</w:t>
      </w:r>
      <w:r>
        <w:rPr>
          <w:rFonts w:hint="eastAsia" w:ascii="宋体" w:hAnsi="宋体"/>
          <w:b w:val="0"/>
          <w:bCs w:val="0"/>
          <w:color w:val="auto"/>
          <w:sz w:val="21"/>
          <w:szCs w:val="21"/>
          <w:highlight w:val="none"/>
          <w:lang w:val="en-US" w:eastAsia="zh-CN"/>
        </w:rPr>
        <w:t>22</w:t>
      </w:r>
      <w:r>
        <w:rPr>
          <w:rFonts w:hint="eastAsia" w:ascii="宋体" w:hAnsi="宋体" w:eastAsia="宋体"/>
          <w:b w:val="0"/>
          <w:bCs w:val="0"/>
          <w:color w:val="auto"/>
          <w:sz w:val="21"/>
          <w:szCs w:val="21"/>
          <w:highlight w:val="none"/>
          <w:lang w:val="en-US" w:eastAsia="zh-CN"/>
        </w:rPr>
        <w:t>年</w:t>
      </w:r>
      <w:r>
        <w:rPr>
          <w:rFonts w:hint="eastAsia" w:ascii="宋体" w:hAnsi="宋体"/>
          <w:b w:val="0"/>
          <w:bCs w:val="0"/>
          <w:color w:val="auto"/>
          <w:sz w:val="21"/>
          <w:szCs w:val="21"/>
          <w:highlight w:val="none"/>
          <w:lang w:val="en-US" w:eastAsia="zh-CN"/>
        </w:rPr>
        <w:t>11</w:t>
      </w:r>
      <w:r>
        <w:rPr>
          <w:rFonts w:hint="eastAsia" w:ascii="宋体" w:hAnsi="宋体" w:eastAsia="宋体"/>
          <w:b w:val="0"/>
          <w:bCs w:val="0"/>
          <w:color w:val="auto"/>
          <w:sz w:val="21"/>
          <w:szCs w:val="21"/>
          <w:highlight w:val="none"/>
          <w:lang w:val="en-US" w:eastAsia="zh-CN"/>
        </w:rPr>
        <w:t>月</w:t>
      </w:r>
      <w:r>
        <w:rPr>
          <w:rFonts w:hint="eastAsia" w:ascii="宋体" w:hAnsi="宋体"/>
          <w:b w:val="0"/>
          <w:bCs w:val="0"/>
          <w:color w:val="auto"/>
          <w:sz w:val="21"/>
          <w:szCs w:val="21"/>
          <w:highlight w:val="none"/>
          <w:lang w:val="en-US" w:eastAsia="zh-CN"/>
        </w:rPr>
        <w:t>22</w:t>
      </w:r>
      <w:r>
        <w:rPr>
          <w:rFonts w:hint="eastAsia" w:ascii="宋体" w:hAnsi="宋体" w:eastAsia="宋体"/>
          <w:b w:val="0"/>
          <w:bCs w:val="0"/>
          <w:color w:val="auto"/>
          <w:sz w:val="21"/>
          <w:szCs w:val="21"/>
          <w:highlight w:val="none"/>
          <w:lang w:val="en-US" w:eastAsia="zh-CN"/>
        </w:rPr>
        <w:t>日</w:t>
      </w:r>
      <w:r>
        <w:rPr>
          <w:rFonts w:hint="eastAsia" w:ascii="宋体" w:hAnsi="宋体"/>
          <w:b w:val="0"/>
          <w:bCs w:val="0"/>
          <w:color w:val="auto"/>
          <w:sz w:val="21"/>
          <w:szCs w:val="21"/>
          <w:highlight w:val="none"/>
          <w:lang w:val="en-US" w:eastAsia="zh-CN"/>
        </w:rPr>
        <w:t>0</w:t>
      </w:r>
      <w:r>
        <w:rPr>
          <w:rFonts w:hint="eastAsia" w:ascii="宋体" w:hAnsi="宋体" w:eastAsia="宋体"/>
          <w:b w:val="0"/>
          <w:bCs w:val="0"/>
          <w:color w:val="auto"/>
          <w:sz w:val="21"/>
          <w:szCs w:val="21"/>
          <w:highlight w:val="none"/>
          <w:lang w:val="en-US" w:eastAsia="zh-CN"/>
        </w:rPr>
        <w:t>9时00分（北京时间）前递交投标文件。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 xml:space="preserve">一、项目基本情况：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、项目名称：平顶山东部客运枢纽站项目施工及监理</w:t>
      </w:r>
    </w:p>
    <w:p>
      <w:pPr>
        <w:pageBreakBefore w:val="0"/>
        <w:kinsoku/>
        <w:overflowPunct/>
        <w:bidi w:val="0"/>
        <w:spacing w:line="360" w:lineRule="auto"/>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、项目编号：PJS-2022-01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3、采购方式：公开招标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4、预算金额：</w:t>
      </w:r>
      <w:r>
        <w:rPr>
          <w:rFonts w:hint="eastAsia" w:ascii="宋体" w:hAnsi="宋体" w:cs="宋体"/>
          <w:color w:val="auto"/>
          <w:sz w:val="21"/>
          <w:szCs w:val="21"/>
          <w:highlight w:val="none"/>
          <w:lang w:val="en-US" w:eastAsia="zh-CN"/>
        </w:rPr>
        <w:t>135672719.31</w:t>
      </w:r>
      <w:r>
        <w:rPr>
          <w:rFonts w:hint="eastAsia" w:ascii="宋体" w:hAnsi="宋体" w:eastAsia="宋体" w:cs="宋体"/>
          <w:b w:val="0"/>
          <w:bCs w:val="0"/>
          <w:color w:val="auto"/>
          <w:sz w:val="21"/>
          <w:szCs w:val="21"/>
          <w:highlight w:val="none"/>
          <w:lang w:val="en-US" w:eastAsia="zh-CN"/>
        </w:rPr>
        <w:t>元</w:t>
      </w:r>
      <w:r>
        <w:rPr>
          <w:rFonts w:hint="eastAsia" w:ascii="宋体" w:hAnsi="宋体" w:eastAsia="宋体" w:cs="宋体"/>
          <w:color w:val="auto"/>
          <w:sz w:val="21"/>
          <w:szCs w:val="21"/>
          <w:highlight w:val="none"/>
          <w:lang w:val="en-US" w:eastAsia="zh-CN"/>
        </w:rPr>
        <w:t xml:space="preserve"> </w:t>
      </w:r>
    </w:p>
    <w:tbl>
      <w:tblPr>
        <w:tblStyle w:val="19"/>
        <w:tblW w:w="9258" w:type="dxa"/>
        <w:tblCellSpacing w:w="0" w:type="dxa"/>
        <w:tblInd w:w="-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04"/>
        <w:gridCol w:w="1880"/>
        <w:gridCol w:w="2235"/>
        <w:gridCol w:w="2417"/>
        <w:gridCol w:w="20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0" w:hRule="atLeast"/>
          <w:tblCellSpacing w:w="0" w:type="dxa"/>
        </w:trPr>
        <w:tc>
          <w:tcPr>
            <w:tcW w:w="704" w:type="dxa"/>
            <w:tcBorders>
              <w:top w:val="single" w:color="auto" w:sz="4" w:space="0"/>
              <w:lef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lang w:bidi="ar-SA"/>
              </w:rPr>
            </w:pPr>
            <w:r>
              <w:rPr>
                <w:rFonts w:hint="eastAsia" w:ascii="宋体" w:hAnsi="宋体" w:eastAsia="宋体" w:cs="宋体"/>
                <w:color w:val="auto"/>
                <w:kern w:val="0"/>
                <w:sz w:val="21"/>
                <w:szCs w:val="21"/>
                <w:highlight w:val="none"/>
                <w:lang w:bidi="ar-SA"/>
              </w:rPr>
              <w:t>序号</w:t>
            </w:r>
          </w:p>
        </w:tc>
        <w:tc>
          <w:tcPr>
            <w:tcW w:w="1880" w:type="dxa"/>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lang w:bidi="ar-SA"/>
              </w:rPr>
            </w:pPr>
            <w:r>
              <w:rPr>
                <w:rFonts w:hint="eastAsia" w:ascii="宋体" w:hAnsi="宋体" w:eastAsia="宋体" w:cs="宋体"/>
                <w:color w:val="auto"/>
                <w:kern w:val="0"/>
                <w:sz w:val="21"/>
                <w:szCs w:val="21"/>
                <w:highlight w:val="none"/>
                <w:lang w:bidi="ar-SA"/>
              </w:rPr>
              <w:t>包号</w:t>
            </w:r>
          </w:p>
        </w:tc>
        <w:tc>
          <w:tcPr>
            <w:tcW w:w="2235" w:type="dxa"/>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lang w:bidi="ar-SA"/>
              </w:rPr>
            </w:pPr>
            <w:r>
              <w:rPr>
                <w:rFonts w:hint="eastAsia" w:ascii="宋体" w:hAnsi="宋体" w:eastAsia="宋体" w:cs="宋体"/>
                <w:color w:val="auto"/>
                <w:kern w:val="0"/>
                <w:sz w:val="21"/>
                <w:szCs w:val="21"/>
                <w:highlight w:val="none"/>
                <w:lang w:bidi="ar-SA"/>
              </w:rPr>
              <w:t>包名称</w:t>
            </w:r>
          </w:p>
        </w:tc>
        <w:tc>
          <w:tcPr>
            <w:tcW w:w="2417" w:type="dxa"/>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lang w:bidi="ar-SA"/>
              </w:rPr>
            </w:pPr>
            <w:r>
              <w:rPr>
                <w:rFonts w:hint="eastAsia" w:ascii="宋体" w:hAnsi="宋体" w:eastAsia="宋体" w:cs="宋体"/>
                <w:color w:val="auto"/>
                <w:kern w:val="0"/>
                <w:sz w:val="21"/>
                <w:szCs w:val="21"/>
                <w:highlight w:val="none"/>
                <w:lang w:bidi="ar-SA"/>
              </w:rPr>
              <w:t>包预算（元）</w:t>
            </w:r>
          </w:p>
        </w:tc>
        <w:tc>
          <w:tcPr>
            <w:tcW w:w="2022" w:type="dxa"/>
            <w:tcBorders>
              <w:top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lang w:bidi="ar-SA"/>
              </w:rPr>
            </w:pPr>
            <w:r>
              <w:rPr>
                <w:rFonts w:hint="eastAsia" w:ascii="宋体" w:hAnsi="宋体" w:eastAsia="宋体" w:cs="宋体"/>
                <w:color w:val="auto"/>
                <w:kern w:val="0"/>
                <w:sz w:val="21"/>
                <w:szCs w:val="21"/>
                <w:highlight w:val="none"/>
                <w:lang w:bidi="ar-SA"/>
              </w:rPr>
              <w:t>包最高限价（元）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2" w:hRule="atLeast"/>
          <w:tblCellSpacing w:w="0" w:type="dxa"/>
        </w:trPr>
        <w:tc>
          <w:tcPr>
            <w:tcW w:w="704"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lang w:bidi="ar-SA"/>
              </w:rPr>
            </w:pPr>
            <w:r>
              <w:rPr>
                <w:rFonts w:hint="eastAsia" w:ascii="宋体" w:hAnsi="宋体" w:eastAsia="宋体" w:cs="宋体"/>
                <w:color w:val="auto"/>
                <w:kern w:val="0"/>
                <w:sz w:val="21"/>
                <w:szCs w:val="21"/>
                <w:highlight w:val="none"/>
                <w:lang w:bidi="ar-SA"/>
              </w:rPr>
              <w:t>1</w:t>
            </w:r>
          </w:p>
        </w:tc>
        <w:tc>
          <w:tcPr>
            <w:tcW w:w="18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lang w:bidi="ar-SA"/>
              </w:rPr>
            </w:pPr>
            <w:r>
              <w:rPr>
                <w:rFonts w:hint="eastAsia" w:ascii="宋体" w:hAnsi="宋体" w:eastAsia="宋体" w:cs="宋体"/>
                <w:color w:val="auto"/>
                <w:kern w:val="0"/>
                <w:sz w:val="21"/>
                <w:szCs w:val="21"/>
                <w:highlight w:val="none"/>
                <w:lang w:bidi="ar-SA"/>
              </w:rPr>
              <w:t>1</w:t>
            </w:r>
          </w:p>
        </w:tc>
        <w:tc>
          <w:tcPr>
            <w:tcW w:w="22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lang w:bidi="ar-SA"/>
              </w:rPr>
            </w:pPr>
            <w:r>
              <w:rPr>
                <w:rFonts w:hint="eastAsia" w:ascii="宋体" w:hAnsi="宋体" w:eastAsia="宋体" w:cs="宋体"/>
                <w:color w:val="auto"/>
                <w:kern w:val="0"/>
                <w:sz w:val="21"/>
                <w:szCs w:val="21"/>
                <w:highlight w:val="none"/>
                <w:lang w:bidi="ar-SA"/>
              </w:rPr>
              <w:t>施工标</w:t>
            </w:r>
          </w:p>
        </w:tc>
        <w:tc>
          <w:tcPr>
            <w:tcW w:w="24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kern w:val="0"/>
                <w:sz w:val="21"/>
                <w:szCs w:val="21"/>
                <w:highlight w:val="none"/>
                <w:u w:val="none"/>
                <w:lang w:bidi="ar-SA"/>
              </w:rPr>
            </w:pPr>
            <w:r>
              <w:rPr>
                <w:rFonts w:hint="eastAsia" w:ascii="宋体" w:hAnsi="宋体" w:eastAsia="宋体" w:cs="宋体"/>
                <w:b w:val="0"/>
                <w:bCs w:val="0"/>
                <w:color w:val="auto"/>
                <w:sz w:val="21"/>
                <w:szCs w:val="21"/>
                <w:highlight w:val="none"/>
                <w:u w:val="none"/>
                <w:lang w:val="en-US" w:eastAsia="zh-CN"/>
              </w:rPr>
              <w:t>133352719.31</w:t>
            </w:r>
          </w:p>
        </w:tc>
        <w:tc>
          <w:tcPr>
            <w:tcW w:w="2022" w:type="dxa"/>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kern w:val="0"/>
                <w:sz w:val="21"/>
                <w:szCs w:val="21"/>
                <w:highlight w:val="none"/>
                <w:u w:val="none"/>
                <w:lang w:bidi="ar-SA"/>
              </w:rPr>
            </w:pPr>
            <w:r>
              <w:rPr>
                <w:rFonts w:hint="eastAsia" w:ascii="宋体" w:hAnsi="宋体" w:eastAsia="宋体" w:cs="宋体"/>
                <w:b w:val="0"/>
                <w:bCs w:val="0"/>
                <w:color w:val="auto"/>
                <w:sz w:val="21"/>
                <w:szCs w:val="21"/>
                <w:highlight w:val="none"/>
                <w:u w:val="none"/>
                <w:lang w:val="en-US" w:eastAsia="zh-CN"/>
              </w:rPr>
              <w:t>133352719.31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2" w:hRule="atLeast"/>
          <w:tblCellSpacing w:w="0" w:type="dxa"/>
        </w:trPr>
        <w:tc>
          <w:tcPr>
            <w:tcW w:w="704" w:type="dxa"/>
            <w:tcBorders>
              <w:left w:val="single" w:color="auto" w:sz="4" w:space="0"/>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lang w:bidi="ar-SA"/>
              </w:rPr>
            </w:pPr>
            <w:r>
              <w:rPr>
                <w:rFonts w:hint="eastAsia" w:ascii="宋体" w:hAnsi="宋体" w:eastAsia="宋体" w:cs="宋体"/>
                <w:color w:val="auto"/>
                <w:kern w:val="0"/>
                <w:sz w:val="21"/>
                <w:szCs w:val="21"/>
                <w:highlight w:val="none"/>
                <w:lang w:bidi="ar-SA"/>
              </w:rPr>
              <w:t>2</w:t>
            </w:r>
          </w:p>
        </w:tc>
        <w:tc>
          <w:tcPr>
            <w:tcW w:w="1880" w:type="dxa"/>
            <w:tcBorders>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lang w:bidi="ar-SA"/>
              </w:rPr>
            </w:pPr>
            <w:r>
              <w:rPr>
                <w:rFonts w:hint="eastAsia" w:ascii="宋体" w:hAnsi="宋体" w:eastAsia="宋体" w:cs="宋体"/>
                <w:color w:val="auto"/>
                <w:kern w:val="0"/>
                <w:sz w:val="21"/>
                <w:szCs w:val="21"/>
                <w:highlight w:val="none"/>
                <w:lang w:bidi="ar-SA"/>
              </w:rPr>
              <w:t>2</w:t>
            </w:r>
          </w:p>
        </w:tc>
        <w:tc>
          <w:tcPr>
            <w:tcW w:w="2235" w:type="dxa"/>
            <w:tcBorders>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lang w:bidi="ar-SA"/>
              </w:rPr>
            </w:pPr>
            <w:r>
              <w:rPr>
                <w:rFonts w:hint="eastAsia" w:ascii="宋体" w:hAnsi="宋体" w:eastAsia="宋体" w:cs="宋体"/>
                <w:color w:val="auto"/>
                <w:kern w:val="0"/>
                <w:sz w:val="21"/>
                <w:szCs w:val="21"/>
                <w:highlight w:val="none"/>
                <w:lang w:bidi="ar-SA"/>
              </w:rPr>
              <w:t>监理标</w:t>
            </w:r>
          </w:p>
        </w:tc>
        <w:tc>
          <w:tcPr>
            <w:tcW w:w="2417" w:type="dxa"/>
            <w:tcBorders>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2320000.00</w:t>
            </w:r>
          </w:p>
        </w:tc>
        <w:tc>
          <w:tcPr>
            <w:tcW w:w="2022" w:type="dxa"/>
            <w:tcBorders>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2320000.00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5、采购需求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1）项目概况</w:t>
      </w:r>
      <w:r>
        <w:rPr>
          <w:rFonts w:hint="eastAsia" w:ascii="宋体" w:hAnsi="宋体" w:cs="宋体"/>
          <w:color w:val="auto"/>
          <w:sz w:val="21"/>
          <w:szCs w:val="21"/>
          <w:highlight w:val="none"/>
          <w:lang w:val="en-US" w:eastAsia="zh-CN"/>
        </w:rPr>
        <w:t>及内容</w:t>
      </w:r>
      <w:r>
        <w:rPr>
          <w:rFonts w:hint="eastAsia" w:ascii="宋体" w:hAnsi="宋体" w:eastAsia="宋体" w:cs="宋体"/>
          <w:color w:val="auto"/>
          <w:sz w:val="21"/>
          <w:szCs w:val="21"/>
          <w:highlight w:val="none"/>
          <w:lang w:val="en-US" w:eastAsia="zh-CN"/>
        </w:rPr>
        <w:t>：平顶山东部客运枢纽站项目平顶山市卫东区，许南路（国道234、昆阳大道）与建设路交叉口向北300m</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总用地面积94361.84㎡、总建筑面积24906.66㎡，其中，客运站场建筑面积15452.12㎡、公交站场建筑面积1451.75㎡、人防地下室建筑面积1993.23㎡、车辆维护中心区建筑面积5534.56㎡、加油加气点区域建筑面积475.00㎡、智慧交通中心楼共九层，建筑高度39.20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2）标段划分：本项目共划分为2个标段：第一标段：施工标；第二标段：监理标；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zh-CN" w:eastAsia="zh-CN"/>
        </w:rPr>
        <w:t>资金来源</w:t>
      </w:r>
      <w:r>
        <w:rPr>
          <w:rFonts w:hint="eastAsia" w:ascii="宋体" w:hAnsi="宋体" w:eastAsia="宋体" w:cs="宋体"/>
          <w:b/>
          <w:bCs/>
          <w:color w:val="auto"/>
          <w:sz w:val="21"/>
          <w:szCs w:val="21"/>
          <w:highlight w:val="none"/>
          <w:lang w:val="zh-CN" w:eastAsia="zh-CN"/>
        </w:rPr>
        <w:t>：</w:t>
      </w:r>
      <w:r>
        <w:rPr>
          <w:rFonts w:hint="eastAsia" w:ascii="宋体" w:hAnsi="宋体" w:eastAsia="宋体" w:cs="宋体"/>
          <w:b w:val="0"/>
          <w:bCs w:val="0"/>
          <w:color w:val="auto"/>
          <w:sz w:val="21"/>
          <w:szCs w:val="21"/>
          <w:highlight w:val="none"/>
          <w:lang w:val="en-US" w:eastAsia="zh-CN"/>
        </w:rPr>
        <w:t>自筹资金</w:t>
      </w:r>
      <w:r>
        <w:rPr>
          <w:rFonts w:hint="eastAsia" w:ascii="宋体" w:hAnsi="宋体" w:eastAsia="宋体" w:cs="宋体"/>
          <w:color w:val="auto"/>
          <w:kern w:val="0"/>
          <w:sz w:val="21"/>
          <w:szCs w:val="21"/>
          <w:highlight w:val="none"/>
          <w:lang w:val="zh-CN" w:eastAsia="zh-CN" w:bidi="ar-SA"/>
        </w:rPr>
        <w:t>，已落实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lang w:val="zh-CN" w:eastAsia="zh-CN"/>
        </w:rPr>
        <w:t>4）施工工期</w:t>
      </w:r>
      <w:r>
        <w:rPr>
          <w:rFonts w:hint="eastAsia" w:ascii="宋体" w:hAnsi="宋体" w:cs="宋体"/>
          <w:color w:val="auto"/>
          <w:sz w:val="21"/>
          <w:szCs w:val="21"/>
          <w:highlight w:val="none"/>
          <w:lang w:val="zh-CN" w:eastAsia="zh-CN"/>
        </w:rPr>
        <w:t>及</w:t>
      </w:r>
      <w:r>
        <w:rPr>
          <w:rFonts w:hint="eastAsia" w:ascii="宋体" w:hAnsi="宋体" w:eastAsia="宋体" w:cs="宋体"/>
          <w:color w:val="auto"/>
          <w:sz w:val="21"/>
          <w:szCs w:val="21"/>
          <w:highlight w:val="none"/>
          <w:lang w:val="zh-CN" w:eastAsia="zh-CN"/>
        </w:rPr>
        <w:t>质量要求</w:t>
      </w:r>
      <w:r>
        <w:rPr>
          <w:rFonts w:hint="eastAsia" w:ascii="宋体" w:hAnsi="宋体" w:cs="宋体"/>
          <w:color w:val="auto"/>
          <w:sz w:val="21"/>
          <w:szCs w:val="21"/>
          <w:highlight w:val="none"/>
          <w:lang w:val="en-US" w:eastAsia="zh-CN"/>
        </w:rPr>
        <w:t xml:space="preserve">：施工工期 </w:t>
      </w:r>
      <w:r>
        <w:rPr>
          <w:rFonts w:hint="eastAsia" w:ascii="宋体" w:hAnsi="宋体" w:cs="宋体"/>
          <w:color w:val="auto"/>
          <w:sz w:val="21"/>
          <w:szCs w:val="21"/>
          <w:highlight w:val="none"/>
          <w:u w:val="single"/>
          <w:lang w:val="en-US" w:eastAsia="zh-CN"/>
        </w:rPr>
        <w:t xml:space="preserve"> 720</w:t>
      </w:r>
      <w:r>
        <w:rPr>
          <w:rFonts w:hint="eastAsia" w:ascii="宋体" w:hAnsi="宋体" w:cs="宋体"/>
          <w:color w:val="auto"/>
          <w:sz w:val="21"/>
          <w:szCs w:val="21"/>
          <w:highlight w:val="none"/>
          <w:u w:val="none"/>
          <w:lang w:val="en-US" w:eastAsia="zh-CN"/>
        </w:rPr>
        <w:t>日历天，合格；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zh-CN" w:eastAsia="zh-CN"/>
        </w:rPr>
        <w:t>）监理工期控制目标及质量控制目标：本项目施工及保修阶段全过程监理，合格工程；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zh-CN" w:eastAsia="zh-CN"/>
        </w:rPr>
        <w:t>）招标范围</w:t>
      </w:r>
      <w:r>
        <w:rPr>
          <w:rFonts w:hint="eastAsia" w:ascii="宋体" w:hAnsi="宋体" w:cs="宋体"/>
          <w:color w:val="auto"/>
          <w:sz w:val="21"/>
          <w:szCs w:val="21"/>
          <w:highlight w:val="none"/>
          <w:lang w:val="zh-CN" w:eastAsia="zh-CN"/>
        </w:rPr>
        <w:t>：（包括项目概况中的全部内容）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cs="宋体"/>
          <w:color w:val="auto"/>
          <w:sz w:val="21"/>
          <w:szCs w:val="21"/>
          <w:highlight w:val="none"/>
          <w:lang w:val="zh-CN" w:eastAsia="zh-CN"/>
        </w:rPr>
        <w:t>第一标段：</w:t>
      </w:r>
      <w:r>
        <w:rPr>
          <w:rFonts w:hint="eastAsia" w:ascii="宋体" w:hAnsi="宋体" w:eastAsia="宋体" w:cs="宋体"/>
          <w:color w:val="auto"/>
          <w:sz w:val="21"/>
          <w:szCs w:val="21"/>
          <w:highlight w:val="none"/>
          <w:lang w:val="en-US" w:eastAsia="zh-CN"/>
        </w:rPr>
        <w:t>图纸及工程量清单范围内的所有内容</w:t>
      </w:r>
      <w:r>
        <w:rPr>
          <w:rFonts w:hint="eastAsia" w:ascii="宋体" w:hAnsi="宋体" w:eastAsia="宋体" w:cs="宋体"/>
          <w:color w:val="auto"/>
          <w:sz w:val="21"/>
          <w:szCs w:val="21"/>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第二标段：本项目施工及质量保修阶段的监理服务。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lang w:val="zh-CN" w:eastAsia="zh-CN"/>
        </w:rPr>
      </w:pPr>
      <w:r>
        <w:rPr>
          <w:rFonts w:hint="eastAsia" w:ascii="宋体" w:hAnsi="宋体" w:eastAsia="宋体" w:cs="宋体"/>
          <w:b/>
          <w:bCs/>
          <w:color w:val="auto"/>
          <w:sz w:val="21"/>
          <w:szCs w:val="21"/>
          <w:highlight w:val="none"/>
          <w:lang w:val="en-US" w:eastAsia="zh-CN"/>
        </w:rPr>
        <w:t xml:space="preserve">二、申请人资格要求： </w:t>
      </w:r>
    </w:p>
    <w:p>
      <w:pPr>
        <w:keepNext w:val="0"/>
        <w:keepLines w:val="0"/>
        <w:pageBreakBefore w:val="0"/>
        <w:kinsoku/>
        <w:wordWrap/>
        <w:overflowPunct/>
        <w:topLinePunct w:val="0"/>
        <w:autoSpaceDE/>
        <w:autoSpaceDN/>
        <w:bidi w:val="0"/>
        <w:adjustRightInd/>
        <w:snapToGrid/>
        <w:spacing w:line="360" w:lineRule="auto"/>
        <w:ind w:firstLine="211" w:firstLineChars="100"/>
        <w:textAlignment w:val="auto"/>
        <w:rPr>
          <w:rFonts w:hint="eastAsia" w:ascii="宋体" w:hAnsi="宋体" w:eastAsia="宋体" w:cs="宋体"/>
          <w:b/>
          <w:bCs/>
          <w:color w:val="auto"/>
          <w:sz w:val="21"/>
          <w:szCs w:val="21"/>
          <w:highlight w:val="none"/>
          <w:lang w:val="zh-CN" w:eastAsia="zh-CN"/>
        </w:rPr>
      </w:pPr>
      <w:r>
        <w:rPr>
          <w:rFonts w:hint="eastAsia" w:ascii="宋体" w:hAnsi="宋体" w:eastAsia="宋体" w:cs="宋体"/>
          <w:b/>
          <w:bCs/>
          <w:color w:val="auto"/>
          <w:sz w:val="21"/>
          <w:szCs w:val="21"/>
          <w:highlight w:val="none"/>
          <w:lang w:val="zh-CN" w:eastAsia="zh-CN"/>
        </w:rPr>
        <w:t>（</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val="zh-CN" w:eastAsia="zh-CN"/>
        </w:rPr>
        <w:t>）第一标段资格要求：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1.1投标人在中华人民共和国境内注册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具有独立法人资格，持有有效的营业执照、税务登记证、组织机构代码证（或三证合一营业执照）</w:t>
      </w:r>
      <w:r>
        <w:rPr>
          <w:rFonts w:hint="eastAsia" w:ascii="宋体" w:hAnsi="宋体" w:eastAsia="宋体" w:cs="宋体"/>
          <w:color w:val="auto"/>
          <w:sz w:val="21"/>
          <w:szCs w:val="21"/>
          <w:highlight w:val="none"/>
          <w:lang w:eastAsia="zh-CN"/>
        </w:rPr>
        <w:t>。</w:t>
      </w:r>
    </w:p>
    <w:p>
      <w:pPr>
        <w:pStyle w:val="33"/>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highlight w:val="none"/>
          <w:lang w:eastAsia="zh-CN"/>
        </w:rPr>
      </w:pPr>
      <w:r>
        <w:rPr>
          <w:rFonts w:hint="eastAsia" w:ascii="宋体" w:hAnsi="宋体"/>
          <w:szCs w:val="21"/>
          <w:highlight w:val="none"/>
          <w:lang w:val="en-US" w:eastAsia="zh-CN"/>
        </w:rPr>
        <w:t>1.2</w:t>
      </w:r>
      <w:r>
        <w:rPr>
          <w:rFonts w:hint="eastAsia" w:ascii="宋体" w:hAnsi="宋体"/>
          <w:szCs w:val="21"/>
          <w:highlight w:val="none"/>
        </w:rPr>
        <w:t>资格要求：</w:t>
      </w:r>
      <w:r>
        <w:rPr>
          <w:rFonts w:hint="eastAsia" w:ascii="宋体" w:hAnsi="宋体"/>
          <w:szCs w:val="21"/>
          <w:highlight w:val="none"/>
          <w:lang w:eastAsia="zh-CN"/>
        </w:rPr>
        <w:t>投标人应</w:t>
      </w:r>
      <w:r>
        <w:rPr>
          <w:rFonts w:hint="eastAsia" w:ascii="宋体" w:hAnsi="宋体"/>
          <w:szCs w:val="21"/>
          <w:highlight w:val="none"/>
        </w:rPr>
        <w:t>具备国家建设行政主管部门颁发的建筑工程施工总承包</w:t>
      </w:r>
      <w:r>
        <w:rPr>
          <w:rFonts w:hint="eastAsia" w:ascii="宋体" w:hAnsi="宋体"/>
          <w:szCs w:val="21"/>
          <w:highlight w:val="none"/>
          <w:lang w:eastAsia="zh-CN"/>
        </w:rPr>
        <w:t>叁</w:t>
      </w:r>
      <w:r>
        <w:rPr>
          <w:rFonts w:hint="eastAsia" w:ascii="宋体" w:hAnsi="宋体"/>
          <w:szCs w:val="21"/>
          <w:highlight w:val="none"/>
        </w:rPr>
        <w:t>级（含）及以上资质和有效的企业安全生产许可证；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3</w:t>
      </w:r>
      <w:r>
        <w:rPr>
          <w:rFonts w:hint="eastAsia"/>
          <w:color w:val="auto"/>
          <w:highlight w:val="none"/>
        </w:rPr>
        <w:t>投标人拟派项目经理须具有建筑工程专业二级及以上注册建造师资格及有效</w:t>
      </w:r>
      <w:r>
        <w:rPr>
          <w:rFonts w:hint="eastAsia"/>
          <w:color w:val="auto"/>
          <w:highlight w:val="none"/>
          <w:lang w:val="en-US" w:eastAsia="zh-CN"/>
        </w:rPr>
        <w:t>期内</w:t>
      </w:r>
      <w:r>
        <w:rPr>
          <w:rFonts w:hint="eastAsia"/>
          <w:color w:val="auto"/>
          <w:highlight w:val="none"/>
        </w:rPr>
        <w:t>的安全生产考核合格证，且无在建工程，项目经理在投标及施工过程中不得更换</w:t>
      </w:r>
      <w:r>
        <w:rPr>
          <w:rFonts w:hint="eastAsia" w:ascii="宋体" w:hAnsi="宋体" w:eastAsia="宋体" w:cs="宋体"/>
          <w:szCs w:val="21"/>
          <w:highlight w:val="none"/>
        </w:rPr>
        <w:t>（提供项目经理无在建工程承诺书</w:t>
      </w:r>
      <w:r>
        <w:rPr>
          <w:rFonts w:hint="eastAsia"/>
          <w:color w:val="auto"/>
          <w:highlight w:val="none"/>
        </w:rPr>
        <w:t>及不更换承诺</w:t>
      </w:r>
      <w:r>
        <w:rPr>
          <w:rFonts w:hint="eastAsia" w:asciiTheme="minorEastAsia" w:hAnsiTheme="minorEastAsia" w:eastAsiaTheme="minorEastAsia" w:cstheme="minorEastAsia"/>
          <w:color w:val="auto"/>
          <w:highlight w:val="none"/>
        </w:rPr>
        <w:t>书</w:t>
      </w:r>
      <w:r>
        <w:rPr>
          <w:rFonts w:hint="eastAsia" w:asciiTheme="minorEastAsia" w:hAnsiTheme="minorEastAsia" w:eastAsiaTheme="minorEastAsia" w:cstheme="minorEastAsia"/>
          <w:szCs w:val="21"/>
          <w:highlight w:val="none"/>
        </w:rPr>
        <w:t>，格式自拟）；</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投标人拟派</w:t>
      </w:r>
      <w:r>
        <w:rPr>
          <w:rFonts w:hint="eastAsia" w:asciiTheme="minorEastAsia" w:hAnsiTheme="minorEastAsia" w:eastAsiaTheme="minorEastAsia" w:cstheme="minorEastAsia"/>
          <w:color w:val="auto"/>
          <w:highlight w:val="none"/>
          <w:lang w:eastAsia="zh-CN"/>
        </w:rPr>
        <w:t>项目</w:t>
      </w:r>
      <w:r>
        <w:rPr>
          <w:rFonts w:hint="eastAsia" w:asciiTheme="minorEastAsia" w:hAnsiTheme="minorEastAsia" w:eastAsiaTheme="minorEastAsia" w:cstheme="minorEastAsia"/>
          <w:color w:val="auto"/>
          <w:highlight w:val="none"/>
        </w:rPr>
        <w:t>技术负责人须具有相关专业中级及以上技术职称证书</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提供</w:t>
      </w:r>
      <w:r>
        <w:rPr>
          <w:rFonts w:hint="eastAsia" w:asciiTheme="minorEastAsia" w:hAnsiTheme="minorEastAsia" w:eastAsiaTheme="minorEastAsia" w:cstheme="minorEastAsia"/>
          <w:color w:val="auto"/>
          <w:highlight w:val="none"/>
        </w:rPr>
        <w:t>网页查询截图及查询方式</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投标人参与本项目建设的施工员（建筑工程专业）、材料员、资料员、质检（量）员（建筑工程专业）应持有相应岗位资格证书,专职安全员应具有主管部门颁发的安全生产考核合格证</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以上证书均需在</w:t>
      </w:r>
      <w:r>
        <w:rPr>
          <w:rFonts w:hint="eastAsia" w:asciiTheme="minorEastAsia" w:hAnsiTheme="minorEastAsia" w:eastAsiaTheme="minorEastAsia" w:cstheme="minorEastAsia"/>
          <w:color w:val="auto"/>
          <w:sz w:val="21"/>
          <w:szCs w:val="21"/>
          <w:highlight w:val="none"/>
          <w:lang w:eastAsia="zh-CN"/>
        </w:rPr>
        <w:t>有效</w:t>
      </w:r>
      <w:r>
        <w:rPr>
          <w:rFonts w:hint="eastAsia" w:asciiTheme="minorEastAsia" w:hAnsiTheme="minorEastAsia" w:eastAsiaTheme="minorEastAsia" w:cstheme="minorEastAsia"/>
          <w:color w:val="auto"/>
          <w:sz w:val="21"/>
          <w:szCs w:val="21"/>
          <w:highlight w:val="none"/>
          <w:lang w:val="en-US" w:eastAsia="zh-CN"/>
        </w:rPr>
        <w:t>期内</w:t>
      </w:r>
      <w:r>
        <w:rPr>
          <w:rFonts w:hint="eastAsia" w:asciiTheme="minorEastAsia" w:hAnsiTheme="minorEastAsia" w:eastAsiaTheme="minorEastAsia" w:cstheme="minorEastAsia"/>
          <w:color w:val="auto"/>
          <w:sz w:val="21"/>
          <w:szCs w:val="21"/>
          <w:highlight w:val="none"/>
          <w:lang w:eastAsia="zh-CN"/>
        </w:rPr>
        <w:t>且可查询，并提供网上查询页面</w:t>
      </w:r>
      <w:r>
        <w:rPr>
          <w:rFonts w:hint="eastAsia" w:asciiTheme="minorEastAsia" w:hAnsiTheme="minorEastAsia" w:eastAsiaTheme="minorEastAsia" w:cstheme="minorEastAsia"/>
          <w:color w:val="auto"/>
          <w:sz w:val="21"/>
          <w:szCs w:val="21"/>
          <w:highlight w:val="none"/>
          <w:lang w:val="en-US" w:eastAsia="zh-CN"/>
        </w:rPr>
        <w:t>截图</w:t>
      </w: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投标人拟派本项目的项目经理、技术负责人、施工员、材料员、资料员、质检（量）员、专职安全员和委托代理人须为本单位的正式员工（提供人员劳动合同及投标人在当地社保部门为其缴纳的</w:t>
      </w:r>
      <w:r>
        <w:rPr>
          <w:rFonts w:hint="eastAsia" w:asciiTheme="minorEastAsia" w:hAnsiTheme="minorEastAsia" w:eastAsiaTheme="minorEastAsia" w:cstheme="minorEastAsia"/>
          <w:color w:val="auto"/>
          <w:sz w:val="21"/>
          <w:szCs w:val="21"/>
          <w:highlight w:val="none"/>
          <w:lang w:eastAsia="zh-CN"/>
        </w:rPr>
        <w:t>2022</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月以来</w:t>
      </w:r>
      <w:r>
        <w:rPr>
          <w:rFonts w:hint="eastAsia" w:asciiTheme="minorEastAsia" w:hAnsiTheme="minorEastAsia" w:eastAsiaTheme="minorEastAsia" w:cstheme="minorEastAsia"/>
          <w:color w:val="auto"/>
          <w:sz w:val="21"/>
          <w:szCs w:val="21"/>
          <w:highlight w:val="none"/>
          <w:lang w:eastAsia="zh-CN"/>
        </w:rPr>
        <w:t>连续三个月</w:t>
      </w:r>
      <w:r>
        <w:rPr>
          <w:rFonts w:hint="eastAsia" w:asciiTheme="minorEastAsia" w:hAnsiTheme="minorEastAsia" w:eastAsiaTheme="minorEastAsia" w:cstheme="minorEastAsia"/>
          <w:color w:val="auto"/>
          <w:sz w:val="21"/>
          <w:szCs w:val="21"/>
          <w:highlight w:val="none"/>
        </w:rPr>
        <w:t>的养老保险证明）。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7投标人</w:t>
      </w:r>
      <w:r>
        <w:rPr>
          <w:rFonts w:hint="eastAsia" w:asciiTheme="minorEastAsia" w:hAnsiTheme="minorEastAsia" w:eastAsiaTheme="minorEastAsia" w:cstheme="minorEastAsia"/>
          <w:color w:val="auto"/>
          <w:sz w:val="21"/>
          <w:szCs w:val="21"/>
          <w:highlight w:val="none"/>
        </w:rPr>
        <w:t>具有良好的商业信誉和健全的财务会计制度（提供</w:t>
      </w:r>
      <w:r>
        <w:rPr>
          <w:rFonts w:hint="eastAsia" w:asciiTheme="minorEastAsia" w:hAnsiTheme="minorEastAsia" w:eastAsiaTheme="minorEastAsia" w:cstheme="minorEastAsia"/>
          <w:color w:val="auto"/>
          <w:sz w:val="21"/>
          <w:szCs w:val="21"/>
          <w:highlight w:val="none"/>
          <w:lang w:eastAsia="zh-CN"/>
        </w:rPr>
        <w:t>2019、2020、2021</w:t>
      </w:r>
      <w:r>
        <w:rPr>
          <w:rFonts w:hint="eastAsia" w:asciiTheme="minorEastAsia" w:hAnsiTheme="minorEastAsia" w:eastAsiaTheme="minorEastAsia" w:cstheme="minorEastAsia"/>
          <w:color w:val="auto"/>
          <w:sz w:val="21"/>
          <w:szCs w:val="21"/>
          <w:highlight w:val="none"/>
        </w:rPr>
        <w:t>年度经审计的财务</w:t>
      </w:r>
      <w:r>
        <w:rPr>
          <w:rFonts w:hint="eastAsia" w:asciiTheme="minorEastAsia" w:hAnsiTheme="minorEastAsia" w:eastAsiaTheme="minorEastAsia" w:cstheme="minorEastAsia"/>
          <w:color w:val="auto"/>
          <w:sz w:val="21"/>
          <w:szCs w:val="21"/>
          <w:highlight w:val="none"/>
          <w:lang w:val="en-US" w:eastAsia="zh-CN"/>
        </w:rPr>
        <w:t>审计报告</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若投标人为新成立企业，提供自注册年度后的经审计的财务报</w:t>
      </w:r>
      <w:r>
        <w:rPr>
          <w:rFonts w:hint="eastAsia" w:asciiTheme="minorEastAsia" w:hAnsiTheme="minorEastAsia" w:eastAsiaTheme="minorEastAsia" w:cstheme="minorEastAsia"/>
          <w:color w:val="auto"/>
          <w:sz w:val="21"/>
          <w:szCs w:val="21"/>
          <w:highlight w:val="none"/>
          <w:lang w:val="en-US" w:eastAsia="zh-CN"/>
        </w:rPr>
        <w:t>告</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若投标人</w:t>
      </w:r>
      <w:r>
        <w:rPr>
          <w:rFonts w:hint="eastAsia" w:asciiTheme="minorEastAsia" w:hAnsiTheme="minorEastAsia" w:eastAsiaTheme="minorEastAsia" w:cstheme="minorEastAsia"/>
          <w:color w:val="auto"/>
          <w:sz w:val="21"/>
          <w:szCs w:val="21"/>
          <w:highlight w:val="none"/>
          <w:lang w:val="en-US" w:eastAsia="zh-CN"/>
        </w:rPr>
        <w:t>成立时间不足以提供财务报告，提供</w:t>
      </w:r>
      <w:r>
        <w:rPr>
          <w:rFonts w:hint="eastAsia" w:ascii="宋体" w:hAnsi="宋体" w:eastAsia="宋体" w:cs="宋体"/>
          <w:color w:val="auto"/>
          <w:sz w:val="21"/>
          <w:szCs w:val="21"/>
          <w:highlight w:val="none"/>
          <w:lang w:val="en-US" w:eastAsia="zh-CN"/>
        </w:rPr>
        <w:t>其基本户银行出具的资信证明</w:t>
      </w:r>
      <w:r>
        <w:rPr>
          <w:rFonts w:hint="eastAsia" w:ascii="宋体" w:hAnsi="宋体" w:eastAsia="宋体" w:cs="宋体"/>
          <w:color w:val="auto"/>
          <w:sz w:val="21"/>
          <w:szCs w:val="21"/>
          <w:highlight w:val="none"/>
        </w:rPr>
        <w:t>）；具有履行合同所必需的设备和专业技术能力（提供书面承诺书</w:t>
      </w:r>
      <w:r>
        <w:rPr>
          <w:rFonts w:hint="eastAsia" w:ascii="宋体" w:hAnsi="宋体" w:cs="宋体"/>
          <w:color w:val="auto"/>
          <w:sz w:val="21"/>
          <w:szCs w:val="21"/>
          <w:highlight w:val="none"/>
          <w:lang w:eastAsia="zh-CN"/>
        </w:rPr>
        <w:t>格式自拟</w:t>
      </w:r>
      <w:r>
        <w:rPr>
          <w:rFonts w:hint="eastAsia" w:ascii="宋体" w:hAnsi="宋体" w:eastAsia="宋体" w:cs="宋体"/>
          <w:color w:val="auto"/>
          <w:sz w:val="21"/>
          <w:szCs w:val="21"/>
          <w:highlight w:val="none"/>
        </w:rPr>
        <w:t>）；有依法缴纳税收和社会保障资金的良好记录（提供</w:t>
      </w:r>
      <w:r>
        <w:rPr>
          <w:rFonts w:hint="eastAsia" w:ascii="宋体" w:hAnsi="宋体" w:cs="宋体"/>
          <w:color w:val="auto"/>
          <w:sz w:val="21"/>
          <w:szCs w:val="21"/>
          <w:highlight w:val="none"/>
          <w:lang w:eastAsia="zh-CN"/>
        </w:rPr>
        <w:t>2022</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月以来</w:t>
      </w:r>
      <w:r>
        <w:rPr>
          <w:rFonts w:hint="eastAsia" w:ascii="宋体" w:hAnsi="宋体" w:cs="宋体"/>
          <w:color w:val="auto"/>
          <w:sz w:val="21"/>
          <w:szCs w:val="21"/>
          <w:highlight w:val="none"/>
          <w:lang w:eastAsia="zh-CN"/>
        </w:rPr>
        <w:t>连续三个月</w:t>
      </w:r>
      <w:r>
        <w:rPr>
          <w:rFonts w:hint="eastAsia" w:ascii="宋体" w:hAnsi="宋体" w:eastAsia="宋体" w:cs="宋体"/>
          <w:color w:val="auto"/>
          <w:sz w:val="21"/>
          <w:szCs w:val="21"/>
          <w:highlight w:val="none"/>
        </w:rPr>
        <w:t>依法缴纳税收和</w:t>
      </w:r>
      <w:r>
        <w:rPr>
          <w:rFonts w:hint="eastAsia" w:ascii="宋体" w:hAnsi="宋体" w:eastAsia="宋体" w:cs="宋体"/>
          <w:color w:val="000000" w:themeColor="text1"/>
          <w:sz w:val="21"/>
          <w:szCs w:val="21"/>
          <w:highlight w:val="none"/>
          <w14:textFill>
            <w14:solidFill>
              <w14:schemeClr w14:val="tx1"/>
            </w14:solidFill>
          </w14:textFill>
        </w:rPr>
        <w:t>养老保险证明</w:t>
      </w:r>
      <w:r>
        <w:rPr>
          <w:rFonts w:hint="eastAsia" w:ascii="宋体" w:hAnsi="宋体" w:eastAsia="宋体" w:cs="宋体"/>
          <w:color w:val="auto"/>
          <w:sz w:val="21"/>
          <w:szCs w:val="21"/>
          <w:highlight w:val="none"/>
        </w:rPr>
        <w:t>）；参加政府采购活动前三年内（自201</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年1月1日以来，新成立企业自企业成立之日起），在经营活动中没有重大违法记录（提供书面承诺）；法律、行政法规规定的其他条件。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7提供中国执行信息公开网 “失信被执行人”和信用中国网“重大税收违法失信主体”，中国政府采购网“政府采购严重违法失信行为名单”</w:t>
      </w:r>
      <w:r>
        <w:rPr>
          <w:rFonts w:hint="eastAsia" w:ascii="宋体" w:hAnsi="宋体" w:eastAsia="宋体" w:cs="宋体"/>
          <w:color w:val="auto"/>
          <w:sz w:val="21"/>
          <w:szCs w:val="21"/>
          <w:highlight w:val="none"/>
        </w:rPr>
        <w:t>，查询结果页面截图，若有不良记录</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无效，执行财库[2016]125号文，查询日期自本项目招标公告发布之日起</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第二标段资格要求：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2.1投</w:t>
      </w:r>
      <w:r>
        <w:rPr>
          <w:rFonts w:hint="eastAsia" w:ascii="宋体" w:hAnsi="宋体" w:eastAsia="宋体" w:cs="宋体"/>
          <w:color w:val="auto"/>
          <w:sz w:val="21"/>
          <w:szCs w:val="21"/>
          <w:highlight w:val="none"/>
          <w:lang w:val="en-US" w:eastAsia="zh-CN"/>
        </w:rPr>
        <w:t xml:space="preserve">标人在中华人民共和国境内注册，具有独立法人资格，持有有效的营业执照、税务登记证、 组织机构代码证（或三证合一营业执照）。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2.2投标人具有良好的商业信誉和健全的财务会计</w:t>
      </w:r>
      <w:r>
        <w:rPr>
          <w:rFonts w:hint="eastAsia" w:ascii="宋体" w:hAnsi="宋体" w:eastAsia="宋体" w:cs="宋体"/>
          <w:color w:val="auto"/>
          <w:sz w:val="21"/>
          <w:szCs w:val="21"/>
          <w:highlight w:val="none"/>
        </w:rPr>
        <w:t>制度（提供</w:t>
      </w:r>
      <w:r>
        <w:rPr>
          <w:rFonts w:hint="eastAsia" w:ascii="宋体" w:hAnsi="宋体" w:cs="宋体"/>
          <w:color w:val="auto"/>
          <w:sz w:val="21"/>
          <w:szCs w:val="21"/>
          <w:highlight w:val="none"/>
          <w:lang w:eastAsia="zh-CN"/>
        </w:rPr>
        <w:t>2019、2020、2021</w:t>
      </w:r>
      <w:r>
        <w:rPr>
          <w:rFonts w:hint="eastAsia" w:ascii="宋体" w:hAnsi="宋体" w:eastAsia="宋体" w:cs="宋体"/>
          <w:color w:val="auto"/>
          <w:sz w:val="21"/>
          <w:szCs w:val="21"/>
          <w:highlight w:val="none"/>
        </w:rPr>
        <w:t>年度经审计的财务</w:t>
      </w:r>
      <w:r>
        <w:rPr>
          <w:rFonts w:hint="eastAsia" w:ascii="宋体" w:hAnsi="宋体" w:eastAsia="宋体" w:cs="宋体"/>
          <w:color w:val="auto"/>
          <w:sz w:val="21"/>
          <w:szCs w:val="21"/>
          <w:highlight w:val="none"/>
          <w:lang w:val="en-US" w:eastAsia="zh-CN"/>
        </w:rPr>
        <w:t>审计报告或其基本户银行出具的资信证明</w:t>
      </w:r>
      <w:r>
        <w:rPr>
          <w:rFonts w:hint="eastAsia" w:ascii="宋体" w:hAnsi="宋体" w:eastAsia="宋体" w:cs="宋体"/>
          <w:color w:val="auto"/>
          <w:sz w:val="21"/>
          <w:szCs w:val="21"/>
          <w:highlight w:val="none"/>
        </w:rPr>
        <w:t>；若投标人为新成立企业，提供自注册年度后的经审计的财务报</w:t>
      </w:r>
      <w:r>
        <w:rPr>
          <w:rFonts w:hint="eastAsia" w:ascii="宋体" w:hAnsi="宋体" w:eastAsia="宋体" w:cs="宋体"/>
          <w:color w:val="auto"/>
          <w:sz w:val="21"/>
          <w:szCs w:val="21"/>
          <w:highlight w:val="none"/>
          <w:lang w:val="en-US" w:eastAsia="zh-CN"/>
        </w:rPr>
        <w:t>告</w:t>
      </w:r>
      <w:r>
        <w:rPr>
          <w:rFonts w:hint="eastAsia" w:ascii="宋体" w:hAnsi="宋体" w:eastAsia="宋体" w:cs="宋体"/>
          <w:color w:val="auto"/>
          <w:sz w:val="21"/>
          <w:szCs w:val="21"/>
          <w:highlight w:val="none"/>
        </w:rPr>
        <w:t>）；具有履行合同所必需的设备和专业技术能力（提供书面承诺书）；有依法缴纳税收和社会保障资金的良好记录（提供</w:t>
      </w:r>
      <w:r>
        <w:rPr>
          <w:rFonts w:hint="eastAsia" w:ascii="宋体" w:hAnsi="宋体" w:cs="宋体"/>
          <w:color w:val="auto"/>
          <w:sz w:val="21"/>
          <w:szCs w:val="21"/>
          <w:highlight w:val="none"/>
          <w:lang w:eastAsia="zh-CN"/>
        </w:rPr>
        <w:t>2022</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月以来</w:t>
      </w:r>
      <w:r>
        <w:rPr>
          <w:rFonts w:hint="eastAsia" w:ascii="宋体" w:hAnsi="宋体" w:cs="宋体"/>
          <w:color w:val="auto"/>
          <w:sz w:val="21"/>
          <w:szCs w:val="21"/>
          <w:highlight w:val="none"/>
          <w:lang w:eastAsia="zh-CN"/>
        </w:rPr>
        <w:t>连续三个月</w:t>
      </w:r>
      <w:r>
        <w:rPr>
          <w:rFonts w:hint="eastAsia" w:ascii="宋体" w:hAnsi="宋体" w:eastAsia="宋体" w:cs="宋体"/>
          <w:color w:val="auto"/>
          <w:sz w:val="21"/>
          <w:szCs w:val="21"/>
          <w:highlight w:val="none"/>
        </w:rPr>
        <w:t>依法缴纳税收和</w:t>
      </w:r>
      <w:r>
        <w:rPr>
          <w:rFonts w:hint="eastAsia" w:asciiTheme="minorEastAsia" w:hAnsiTheme="minorEastAsia" w:eastAsiaTheme="minorEastAsia" w:cstheme="minorEastAsia"/>
          <w:color w:val="auto"/>
          <w:sz w:val="21"/>
          <w:szCs w:val="21"/>
          <w:highlight w:val="none"/>
        </w:rPr>
        <w:t>养老保险证明</w:t>
      </w:r>
      <w:r>
        <w:rPr>
          <w:rFonts w:hint="eastAsia" w:ascii="宋体" w:hAnsi="宋体" w:eastAsia="宋体" w:cs="宋体"/>
          <w:color w:val="auto"/>
          <w:sz w:val="21"/>
          <w:szCs w:val="21"/>
          <w:highlight w:val="none"/>
        </w:rPr>
        <w:t>）；参加政府采购活动前三年内（自201</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年1月1日以来，新成立企业自企业成立之日起），在经营活动中没有重大违法记录（提供书面承诺）；法律、行政法规规定的其他条件。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2.3投标人须具备建设行政主管部门核发的房屋建筑工程监理乙级及以上资质或具有工程监理综合资质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2.4投标人</w:t>
      </w:r>
      <w:r>
        <w:rPr>
          <w:rFonts w:hint="eastAsia" w:ascii="宋体" w:hAnsi="宋体" w:eastAsia="宋体" w:cs="宋体"/>
          <w:color w:val="auto"/>
          <w:sz w:val="21"/>
          <w:szCs w:val="21"/>
          <w:highlight w:val="none"/>
        </w:rPr>
        <w:t>拟派项目总监理工程师须具有</w:t>
      </w:r>
      <w:r>
        <w:rPr>
          <w:rFonts w:hint="eastAsia"/>
          <w:color w:val="auto"/>
          <w:highlight w:val="none"/>
        </w:rPr>
        <w:t>房屋建筑工程</w:t>
      </w:r>
      <w:r>
        <w:rPr>
          <w:rFonts w:hint="eastAsia" w:ascii="宋体" w:hAnsi="宋体" w:eastAsia="宋体" w:cs="宋体"/>
          <w:color w:val="auto"/>
          <w:sz w:val="21"/>
          <w:szCs w:val="21"/>
          <w:highlight w:val="none"/>
        </w:rPr>
        <w:t>专业</w:t>
      </w:r>
      <w:r>
        <w:rPr>
          <w:rFonts w:hint="eastAsia" w:ascii="宋体" w:hAnsi="宋体" w:cs="宋体"/>
          <w:color w:val="auto"/>
          <w:sz w:val="21"/>
          <w:szCs w:val="21"/>
          <w:highlight w:val="none"/>
          <w:lang w:eastAsia="zh-CN"/>
        </w:rPr>
        <w:t>国家</w:t>
      </w:r>
      <w:r>
        <w:rPr>
          <w:rFonts w:hint="eastAsia" w:ascii="宋体" w:hAnsi="宋体" w:eastAsia="宋体" w:cs="宋体"/>
          <w:color w:val="auto"/>
          <w:sz w:val="21"/>
          <w:szCs w:val="21"/>
          <w:highlight w:val="none"/>
        </w:rPr>
        <w:t>注册监理工程师证书。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投标人拟派本项目的项目总监理工程师和委托代理人须为本单位的正式员工（提供人员劳动合同及投标人在当地社保部门为其缴纳的</w:t>
      </w:r>
      <w:r>
        <w:rPr>
          <w:rFonts w:hint="eastAsia" w:ascii="宋体" w:hAnsi="宋体" w:cs="宋体"/>
          <w:color w:val="auto"/>
          <w:sz w:val="21"/>
          <w:szCs w:val="21"/>
          <w:highlight w:val="none"/>
          <w:lang w:eastAsia="zh-CN"/>
        </w:rPr>
        <w:t>2022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1月</w:t>
      </w:r>
      <w:r>
        <w:rPr>
          <w:rFonts w:hint="eastAsia" w:ascii="宋体" w:hAnsi="宋体" w:cs="宋体"/>
          <w:color w:val="auto"/>
          <w:sz w:val="21"/>
          <w:szCs w:val="21"/>
          <w:highlight w:val="none"/>
          <w:lang w:eastAsia="zh-CN"/>
        </w:rPr>
        <w:t>以来连续三个月</w:t>
      </w:r>
      <w:r>
        <w:rPr>
          <w:rFonts w:hint="eastAsia" w:ascii="宋体" w:hAnsi="宋体" w:eastAsia="宋体" w:cs="宋体"/>
          <w:color w:val="auto"/>
          <w:sz w:val="21"/>
          <w:szCs w:val="21"/>
          <w:highlight w:val="none"/>
        </w:rPr>
        <w:t>的养老保险证明）。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6</w:t>
      </w:r>
      <w:r>
        <w:rPr>
          <w:rFonts w:hint="eastAsia" w:ascii="宋体" w:hAnsi="宋体" w:cs="宋体"/>
          <w:color w:val="auto"/>
          <w:sz w:val="21"/>
          <w:szCs w:val="21"/>
          <w:highlight w:val="none"/>
          <w:lang w:val="en-US" w:eastAsia="zh-CN"/>
        </w:rPr>
        <w:t>提供中国执行信息公开网 “失信被执行人”和信用中国网“重大税收违法失信主体”，中国政府采购网“政府采购严重违法失信行为名单”</w:t>
      </w:r>
      <w:r>
        <w:rPr>
          <w:rFonts w:hint="eastAsia" w:ascii="宋体" w:hAnsi="宋体" w:eastAsia="宋体" w:cs="宋体"/>
          <w:color w:val="auto"/>
          <w:sz w:val="21"/>
          <w:szCs w:val="21"/>
          <w:highlight w:val="none"/>
        </w:rPr>
        <w:t>，查询结果页面截图，若有不良记录</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无效，执行财库[2016]125号文，查询日期自本项目招标公告发布之日起</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本次招标</w:t>
      </w:r>
      <w:r>
        <w:rPr>
          <w:rFonts w:hint="eastAsia" w:ascii="宋体" w:hAnsi="宋体" w:eastAsia="宋体" w:cs="宋体"/>
          <w:color w:val="auto"/>
          <w:sz w:val="21"/>
          <w:szCs w:val="21"/>
          <w:highlight w:val="none"/>
          <w:lang w:val="en-US" w:eastAsia="zh-CN"/>
        </w:rPr>
        <w:t>两个标段均</w:t>
      </w:r>
      <w:r>
        <w:rPr>
          <w:rFonts w:hint="eastAsia" w:ascii="宋体" w:hAnsi="宋体" w:eastAsia="宋体" w:cs="宋体"/>
          <w:color w:val="auto"/>
          <w:sz w:val="21"/>
          <w:szCs w:val="21"/>
          <w:highlight w:val="none"/>
        </w:rPr>
        <w:t>不接受联合体投标，</w:t>
      </w:r>
      <w:r>
        <w:rPr>
          <w:rFonts w:hint="eastAsia" w:ascii="宋体" w:hAnsi="宋体" w:eastAsia="宋体" w:cs="宋体"/>
          <w:color w:val="auto"/>
          <w:sz w:val="21"/>
          <w:szCs w:val="21"/>
          <w:highlight w:val="none"/>
          <w:lang w:val="en-US" w:eastAsia="zh-CN"/>
        </w:rPr>
        <w:t>均</w:t>
      </w:r>
      <w:r>
        <w:rPr>
          <w:rFonts w:hint="eastAsia" w:ascii="宋体" w:hAnsi="宋体" w:eastAsia="宋体" w:cs="宋体"/>
          <w:color w:val="auto"/>
          <w:sz w:val="21"/>
          <w:szCs w:val="21"/>
          <w:highlight w:val="none"/>
        </w:rPr>
        <w:t>采用资格后审。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2、</w:t>
      </w:r>
      <w:r>
        <w:rPr>
          <w:rFonts w:hint="eastAsia" w:ascii="宋体" w:hAnsi="宋体" w:eastAsia="宋体" w:cs="宋体"/>
          <w:color w:val="auto"/>
          <w:sz w:val="21"/>
          <w:szCs w:val="21"/>
          <w:highlight w:val="none"/>
        </w:rPr>
        <w:t xml:space="preserve">养老保险需提供网页查询页面截图。招标人随时保留查询资料的真实性的权利，如证实投标人提供虚假材料，由此导致的投标无效或引起的一切不良和法律后果将由投标人承担。  </w:t>
      </w:r>
    </w:p>
    <w:p>
      <w:pPr>
        <w:keepNext w:val="0"/>
        <w:keepLines w:val="0"/>
        <w:pageBreakBefore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如投标单位为新成立企业，可提供注册后的相关证明材料。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rPr>
        <w:t>获取招标文件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1.时间：</w:t>
      </w:r>
      <w:r>
        <w:rPr>
          <w:rFonts w:hint="eastAsia" w:ascii="宋体" w:hAnsi="宋体" w:eastAsia="宋体" w:cs="宋体"/>
          <w:color w:val="auto"/>
          <w:sz w:val="21"/>
          <w:szCs w:val="21"/>
          <w:highlight w:val="none"/>
        </w:rPr>
        <w:t>20</w:t>
      </w: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日 至 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21</w:t>
      </w:r>
      <w:r>
        <w:rPr>
          <w:rFonts w:hint="eastAsia" w:ascii="宋体" w:hAnsi="宋体" w:eastAsia="宋体" w:cs="宋体"/>
          <w:color w:val="auto"/>
          <w:sz w:val="21"/>
          <w:szCs w:val="21"/>
          <w:highlight w:val="none"/>
        </w:rPr>
        <w:t>日，每天上午00:00至12:00，下午12:00至23:59（北京时间，法定节假日除外。）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地点：平顶山市公共资源交易中心系统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方式：（1）潜在投标人下载招标文件需凭CA数字证书通过《全国公共资源交易平台（河南•平顶山）》（网址：http://www.pdsggzy.com/）“</w:t>
      </w:r>
      <w:r>
        <w:rPr>
          <w:rFonts w:hint="eastAsia" w:ascii="宋体" w:hAnsi="宋体" w:eastAsia="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rPr>
        <w:t>登录”入口进入交易系统进行下载。具体操作请查看以下链接：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链接地址：http://www.pdsggzy.com/fwzn/11020.jhtml</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办理CA证书：</w:t>
      </w: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"http://www.pdsggzy.com/tzgg/10814.jhtml"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rPr>
        <w:t>http://www.pdsggzy.com/tzgg/10814.jhtml</w:t>
      </w:r>
      <w:r>
        <w:rPr>
          <w:rFonts w:hint="eastAsia" w:ascii="宋体" w:hAnsi="宋体" w:eastAsia="宋体" w:cs="宋体"/>
          <w:b w:val="0"/>
          <w:bCs w:val="0"/>
          <w:color w:val="auto"/>
          <w:sz w:val="21"/>
          <w:szCs w:val="21"/>
          <w:highlight w:val="none"/>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bCs/>
          <w:color w:val="auto"/>
          <w:sz w:val="21"/>
          <w:szCs w:val="21"/>
          <w:highlight w:val="none"/>
        </w:rPr>
      </w:pPr>
      <w:r>
        <w:rPr>
          <w:rFonts w:hint="eastAsia"/>
          <w:color w:val="auto"/>
          <w:highlight w:val="none"/>
          <w:lang w:val="en-US" w:eastAsia="zh-CN"/>
        </w:rPr>
        <w:t>4.售价：0元</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四、投标截止时间及地点</w:t>
      </w:r>
      <w:r>
        <w:rPr>
          <w:rFonts w:hint="eastAsia" w:ascii="宋体" w:hAnsi="宋体" w:eastAsia="宋体" w:cs="宋体"/>
          <w:b/>
          <w:bCs/>
          <w:color w:val="auto"/>
          <w:sz w:val="21"/>
          <w:szCs w:val="21"/>
          <w:highlight w:val="none"/>
          <w:lang w:val="en-US"/>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1.</w:t>
      </w:r>
      <w:r>
        <w:rPr>
          <w:rFonts w:hint="eastAsia" w:ascii="宋体" w:hAnsi="宋体" w:eastAsia="宋体" w:cs="宋体"/>
          <w:color w:val="auto"/>
          <w:sz w:val="21"/>
          <w:szCs w:val="21"/>
          <w:highlight w:val="none"/>
        </w:rPr>
        <w:t>时间：</w:t>
      </w:r>
      <w:r>
        <w:rPr>
          <w:rFonts w:hint="eastAsia" w:ascii="宋体" w:hAnsi="宋体" w:cs="宋体"/>
          <w:color w:val="auto"/>
          <w:sz w:val="21"/>
          <w:szCs w:val="21"/>
          <w:highlight w:val="none"/>
          <w:lang w:val="en-US" w:eastAsia="zh-CN"/>
        </w:rPr>
        <w:t>2022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rPr>
        <w:t>时</w:t>
      </w:r>
      <w:r>
        <w:rPr>
          <w:rFonts w:hint="eastAsia" w:ascii="宋体" w:hAnsi="宋体" w:cs="宋体"/>
          <w:color w:val="auto"/>
          <w:sz w:val="21"/>
          <w:szCs w:val="21"/>
          <w:highlight w:val="none"/>
          <w:lang w:val="en-US" w:eastAsia="zh-CN"/>
        </w:rPr>
        <w:t>00</w:t>
      </w:r>
      <w:r>
        <w:rPr>
          <w:rFonts w:hint="eastAsia" w:ascii="宋体" w:hAnsi="宋体" w:eastAsia="宋体" w:cs="宋体"/>
          <w:color w:val="auto"/>
          <w:sz w:val="21"/>
          <w:szCs w:val="21"/>
          <w:highlight w:val="none"/>
        </w:rPr>
        <w:t>分（北京时间）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2.</w:t>
      </w:r>
      <w:r>
        <w:rPr>
          <w:rFonts w:hint="eastAsia" w:ascii="宋体" w:hAnsi="宋体" w:eastAsia="宋体" w:cs="宋体"/>
          <w:color w:val="auto"/>
          <w:sz w:val="21"/>
          <w:szCs w:val="21"/>
          <w:highlight w:val="none"/>
        </w:rPr>
        <w:t>地点：平顶山市公共资源电子化交易系统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五、开标时间及地点</w:t>
      </w:r>
      <w:r>
        <w:rPr>
          <w:rFonts w:hint="eastAsia" w:ascii="宋体" w:hAnsi="宋体" w:eastAsia="宋体" w:cs="宋体"/>
          <w:b/>
          <w:bCs/>
          <w:color w:val="auto"/>
          <w:sz w:val="21"/>
          <w:szCs w:val="21"/>
          <w:highlight w:val="none"/>
          <w:lang w:val="en-US"/>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1.</w:t>
      </w:r>
      <w:r>
        <w:rPr>
          <w:rFonts w:hint="eastAsia" w:ascii="宋体" w:hAnsi="宋体" w:eastAsia="宋体" w:cs="宋体"/>
          <w:color w:val="auto"/>
          <w:sz w:val="21"/>
          <w:szCs w:val="21"/>
          <w:highlight w:val="none"/>
        </w:rPr>
        <w:t>时间：</w:t>
      </w:r>
      <w:r>
        <w:rPr>
          <w:rFonts w:hint="eastAsia" w:ascii="宋体" w:hAnsi="宋体" w:cs="宋体"/>
          <w:color w:val="auto"/>
          <w:sz w:val="21"/>
          <w:szCs w:val="21"/>
          <w:highlight w:val="none"/>
          <w:lang w:val="en-US" w:eastAsia="zh-CN"/>
        </w:rPr>
        <w:t>2022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rPr>
        <w:t>时</w:t>
      </w:r>
      <w:r>
        <w:rPr>
          <w:rFonts w:hint="eastAsia" w:ascii="宋体" w:hAnsi="宋体" w:cs="宋体"/>
          <w:color w:val="auto"/>
          <w:sz w:val="21"/>
          <w:szCs w:val="21"/>
          <w:highlight w:val="none"/>
          <w:lang w:val="en-US" w:eastAsia="zh-CN"/>
        </w:rPr>
        <w:t>00</w:t>
      </w:r>
      <w:r>
        <w:rPr>
          <w:rFonts w:hint="eastAsia" w:ascii="宋体" w:hAnsi="宋体" w:eastAsia="宋体" w:cs="宋体"/>
          <w:color w:val="auto"/>
          <w:sz w:val="21"/>
          <w:szCs w:val="21"/>
          <w:highlight w:val="none"/>
        </w:rPr>
        <w:t>分（北京时间）</w:t>
      </w:r>
      <w:r>
        <w:rPr>
          <w:rFonts w:hint="eastAsia" w:ascii="宋体" w:hAnsi="宋体" w:eastAsia="宋体" w:cs="宋体"/>
          <w:color w:val="auto"/>
          <w:sz w:val="21"/>
          <w:szCs w:val="21"/>
          <w:highlight w:val="none"/>
          <w:lang w:val="en-US"/>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2.</w:t>
      </w:r>
      <w:r>
        <w:rPr>
          <w:rFonts w:hint="eastAsia" w:ascii="宋体" w:hAnsi="宋体" w:eastAsia="宋体" w:cs="宋体"/>
          <w:color w:val="auto"/>
          <w:sz w:val="21"/>
          <w:szCs w:val="21"/>
          <w:highlight w:val="none"/>
        </w:rPr>
        <w:t>地点：平顶山市公共资源电子化交易系统</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注：投标人采用网上远程异地解密，用 CA 证书登录平顶山市公共资源交易中心业务系统，进入本项目开标大厅点击解密来完成投标文件的解密工作。(在疫情期间如有变化，请各潜在投标人及时关注中心网站)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lang w:val="en-US"/>
        </w:rPr>
      </w:pPr>
      <w:r>
        <w:rPr>
          <w:rFonts w:hint="eastAsia" w:ascii="宋体" w:hAnsi="宋体" w:eastAsia="宋体" w:cs="宋体"/>
          <w:b/>
          <w:bCs/>
          <w:color w:val="auto"/>
          <w:sz w:val="21"/>
          <w:szCs w:val="21"/>
          <w:highlight w:val="none"/>
        </w:rPr>
        <w:t>六、发布公告的媒介及招标公告期限</w:t>
      </w:r>
      <w:r>
        <w:rPr>
          <w:rFonts w:hint="eastAsia" w:ascii="宋体" w:hAnsi="宋体" w:eastAsia="宋体" w:cs="宋体"/>
          <w:b/>
          <w:bCs/>
          <w:color w:val="auto"/>
          <w:sz w:val="21"/>
          <w:szCs w:val="21"/>
          <w:highlight w:val="none"/>
          <w:lang w:val="en-US"/>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本次招标公告在《全国公共资源交易平台（河南省·平顶山市）》、《中国招标投标公共服务平台》、《河南省电子招标投标公共服务平台》</w:t>
      </w:r>
      <w:r>
        <w:rPr>
          <w:rFonts w:hint="eastAsia" w:ascii="宋体" w:hAnsi="宋体" w:eastAsia="宋体" w:cs="宋体"/>
          <w:color w:val="auto"/>
          <w:sz w:val="21"/>
          <w:szCs w:val="21"/>
          <w:highlight w:val="none"/>
          <w:lang w:val="en-US" w:eastAsia="zh-CN"/>
        </w:rPr>
        <w:t>网站</w:t>
      </w:r>
      <w:r>
        <w:rPr>
          <w:rFonts w:hint="eastAsia" w:ascii="宋体" w:hAnsi="宋体" w:eastAsia="宋体" w:cs="宋体"/>
          <w:color w:val="auto"/>
          <w:sz w:val="21"/>
          <w:szCs w:val="21"/>
          <w:highlight w:val="none"/>
        </w:rPr>
        <w:t>上发布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公告期限为五个工作日。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七、其他补充事宜</w:t>
      </w:r>
      <w:r>
        <w:rPr>
          <w:rFonts w:hint="eastAsia" w:ascii="宋体" w:hAnsi="宋体" w:eastAsia="宋体" w:cs="宋体"/>
          <w:b/>
          <w:bCs/>
          <w:color w:val="auto"/>
          <w:sz w:val="21"/>
          <w:szCs w:val="21"/>
          <w:highlight w:val="none"/>
          <w:lang w:val="en-US"/>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1、疫情期间如有变化，请各潜在投标人及时关注相关网站。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平顶山市公共资源交易中心全面实行在线“不见面”开标，投标人远程在线解密投标文件，不再到开标现场，投标人开标前应仔细阅读《“不见面”开标注意事项及操作流程》和《关于“不见面开标系统”升级的通知》（网址：http://www.pdsggzy.com/tzgg/48949.jhtml）。</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3、逾期上传的电子投标文件，采购人不予受理。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各投标人如有异议可通过平顶山市公共资源交易平台向招标人（代理机构）、行政监督部门在线提出质疑（异议）、投诉。 该公告已同步至“平顶山市公共资源交易中心微信公众号”，可通过公众号中的服务栏目进行查阅。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平顶山市建设工程招标投标</w:t>
      </w:r>
      <w:r>
        <w:rPr>
          <w:rFonts w:hint="eastAsia" w:ascii="宋体" w:hAnsi="宋体" w:cs="宋体"/>
          <w:b w:val="0"/>
          <w:bCs w:val="0"/>
          <w:color w:val="auto"/>
          <w:sz w:val="21"/>
          <w:szCs w:val="21"/>
          <w:highlight w:val="none"/>
          <w:lang w:eastAsia="zh-CN"/>
        </w:rPr>
        <w:t>事务</w:t>
      </w:r>
      <w:r>
        <w:rPr>
          <w:rFonts w:hint="eastAsia" w:ascii="宋体" w:hAnsi="宋体" w:eastAsia="宋体" w:cs="宋体"/>
          <w:b w:val="0"/>
          <w:bCs w:val="0"/>
          <w:color w:val="auto"/>
          <w:sz w:val="21"/>
          <w:szCs w:val="21"/>
          <w:highlight w:val="none"/>
        </w:rPr>
        <w:t>中心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联 系 人：王先生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联系电话：</w:t>
      </w:r>
      <w:r>
        <w:rPr>
          <w:rFonts w:hint="eastAsia" w:ascii="宋体" w:hAnsi="宋体" w:eastAsia="宋体" w:cs="宋体"/>
          <w:b w:val="0"/>
          <w:bCs w:val="0"/>
          <w:color w:val="auto"/>
          <w:sz w:val="21"/>
          <w:szCs w:val="21"/>
          <w:highlight w:val="none"/>
          <w:lang w:val="en-US"/>
        </w:rPr>
        <w:t>0375-2633905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统一社会信用代码：</w:t>
      </w:r>
      <w:r>
        <w:rPr>
          <w:rFonts w:hint="eastAsia" w:ascii="宋体" w:hAnsi="宋体" w:eastAsia="宋体" w:cs="宋体"/>
          <w:b w:val="0"/>
          <w:bCs w:val="0"/>
          <w:color w:val="auto"/>
          <w:sz w:val="21"/>
          <w:szCs w:val="21"/>
          <w:highlight w:val="none"/>
          <w:lang w:val="en-US"/>
        </w:rPr>
        <w:t>12410400F737105200</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八、凡对本次招标提出询问，请按照以下方式联系</w:t>
      </w:r>
      <w:r>
        <w:rPr>
          <w:rFonts w:hint="eastAsia" w:ascii="宋体" w:hAnsi="宋体" w:eastAsia="宋体" w:cs="宋体"/>
          <w:b/>
          <w:bCs/>
          <w:color w:val="auto"/>
          <w:sz w:val="21"/>
          <w:szCs w:val="21"/>
          <w:highlight w:val="none"/>
          <w:lang w:val="en-US"/>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rPr>
        <w:t xml:space="preserve"> </w:t>
      </w:r>
      <w:r>
        <w:rPr>
          <w:rFonts w:hint="eastAsia" w:ascii="宋体" w:hAnsi="宋体" w:cs="宋体"/>
          <w:color w:val="auto"/>
          <w:sz w:val="21"/>
          <w:szCs w:val="21"/>
          <w:highlight w:val="none"/>
          <w:lang w:eastAsia="zh-CN"/>
        </w:rPr>
        <w:t>招标人</w:t>
      </w:r>
      <w:r>
        <w:rPr>
          <w:rFonts w:hint="eastAsia" w:ascii="宋体" w:hAnsi="宋体" w:eastAsia="宋体" w:cs="宋体"/>
          <w:color w:val="auto"/>
          <w:sz w:val="21"/>
          <w:szCs w:val="21"/>
          <w:highlight w:val="none"/>
        </w:rPr>
        <w:t xml:space="preserve">信息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招 标</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人：</w:t>
      </w:r>
      <w:r>
        <w:rPr>
          <w:rFonts w:hint="eastAsia" w:ascii="宋体" w:hAnsi="宋体" w:cs="宋体"/>
          <w:b w:val="0"/>
          <w:bCs w:val="0"/>
          <w:color w:val="auto"/>
          <w:sz w:val="21"/>
          <w:szCs w:val="21"/>
          <w:highlight w:val="none"/>
          <w:lang w:eastAsia="zh-CN"/>
        </w:rPr>
        <w:t>平顶山交通水利建设投资有限公司</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联 系</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人：马</w:t>
      </w:r>
      <w:r>
        <w:rPr>
          <w:rFonts w:hint="eastAsia" w:ascii="宋体" w:hAnsi="宋体" w:cs="宋体"/>
          <w:b w:val="0"/>
          <w:bCs w:val="0"/>
          <w:color w:val="auto"/>
          <w:sz w:val="21"/>
          <w:szCs w:val="21"/>
          <w:highlight w:val="none"/>
          <w:lang w:val="en-US" w:eastAsia="zh-CN"/>
        </w:rPr>
        <w:t>先生</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电</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话：18037596888</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地</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址：</w:t>
      </w:r>
      <w:r>
        <w:rPr>
          <w:rFonts w:hint="eastAsia" w:ascii="宋体" w:hAnsi="宋体" w:eastAsia="宋体" w:cs="宋体"/>
          <w:b w:val="0"/>
          <w:bCs w:val="0"/>
          <w:color w:val="auto"/>
          <w:sz w:val="21"/>
          <w:szCs w:val="21"/>
          <w:highlight w:val="none"/>
          <w:lang w:eastAsia="zh-CN"/>
        </w:rPr>
        <w:t>平顶山市新城区交通大厦</w:t>
      </w:r>
      <w:r>
        <w:rPr>
          <w:rFonts w:hint="eastAsia" w:ascii="宋体" w:hAnsi="宋体" w:eastAsia="宋体" w:cs="宋体"/>
          <w:b w:val="0"/>
          <w:bCs w:val="0"/>
          <w:color w:val="auto"/>
          <w:sz w:val="21"/>
          <w:szCs w:val="21"/>
          <w:highlight w:val="none"/>
          <w:lang w:val="en-US" w:eastAsia="zh-CN"/>
        </w:rPr>
        <w:t xml:space="preserve">15楼 </w:t>
      </w:r>
      <w:r>
        <w:rPr>
          <w:rFonts w:hint="eastAsia" w:ascii="宋体" w:hAnsi="宋体" w:eastAsia="宋体" w:cs="宋体"/>
          <w:b w:val="0"/>
          <w:bCs w:val="0"/>
          <w:color w:val="auto"/>
          <w:sz w:val="21"/>
          <w:szCs w:val="21"/>
          <w:highlight w:val="none"/>
        </w:rPr>
        <w:t xml:space="preserve">  </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招标</w:t>
      </w:r>
      <w:r>
        <w:rPr>
          <w:rFonts w:hint="eastAsia" w:ascii="宋体" w:hAnsi="宋体" w:eastAsia="宋体" w:cs="宋体"/>
          <w:color w:val="auto"/>
          <w:sz w:val="21"/>
          <w:szCs w:val="21"/>
          <w:highlight w:val="none"/>
        </w:rPr>
        <w:t>代理机构信息</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招标代理机构：河南财锐工程咨询服务有限公司  </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联</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系</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人：</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李女士</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电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话：0375-2922888</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color w:val="auto"/>
          <w:highlight w:val="none"/>
        </w:rPr>
      </w:pPr>
      <w:r>
        <w:rPr>
          <w:rFonts w:hint="eastAsia" w:ascii="宋体" w:hAnsi="宋体" w:eastAsia="宋体" w:cs="宋体"/>
          <w:b w:val="0"/>
          <w:bCs w:val="0"/>
          <w:color w:val="auto"/>
          <w:sz w:val="21"/>
          <w:szCs w:val="21"/>
          <w:highlight w:val="none"/>
        </w:rPr>
        <w:t xml:space="preserve">地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址：平顶山市未来路凤凰花园小区6号楼1层</w:t>
      </w:r>
    </w:p>
    <w:p>
      <w:pPr>
        <w:rPr>
          <w:rFonts w:hint="eastAsia"/>
          <w:b/>
          <w:bCs/>
          <w:color w:val="auto"/>
          <w:sz w:val="32"/>
          <w:szCs w:val="40"/>
          <w:highlight w:val="none"/>
        </w:rPr>
      </w:pPr>
      <w:r>
        <w:rPr>
          <w:rFonts w:hint="eastAsia"/>
          <w:b/>
          <w:bCs/>
          <w:color w:val="auto"/>
          <w:sz w:val="32"/>
          <w:szCs w:val="40"/>
          <w:highlight w:val="none"/>
        </w:rPr>
        <w:br w:type="page"/>
      </w:r>
    </w:p>
    <w:p>
      <w:pPr>
        <w:bidi w:val="0"/>
        <w:spacing w:line="360" w:lineRule="auto"/>
        <w:jc w:val="center"/>
        <w:rPr>
          <w:b/>
          <w:bCs/>
          <w:color w:val="auto"/>
          <w:sz w:val="32"/>
          <w:szCs w:val="40"/>
          <w:highlight w:val="none"/>
        </w:rPr>
      </w:pPr>
      <w:r>
        <w:rPr>
          <w:rFonts w:hint="eastAsia"/>
          <w:b/>
          <w:bCs/>
          <w:color w:val="auto"/>
          <w:sz w:val="32"/>
          <w:szCs w:val="40"/>
          <w:highlight w:val="none"/>
        </w:rPr>
        <w:t>温馨提示：</w:t>
      </w:r>
    </w:p>
    <w:p>
      <w:pPr>
        <w:bidi w:val="0"/>
        <w:spacing w:line="360" w:lineRule="auto"/>
        <w:rPr>
          <w:color w:val="auto"/>
          <w:sz w:val="21"/>
          <w:szCs w:val="21"/>
          <w:highlight w:val="none"/>
        </w:rPr>
      </w:pPr>
      <w:r>
        <w:rPr>
          <w:rFonts w:hint="eastAsia"/>
          <w:color w:val="auto"/>
          <w:sz w:val="21"/>
          <w:szCs w:val="21"/>
          <w:highlight w:val="none"/>
        </w:rPr>
        <w:t>本项目为全流程电子化交易项目，请认真阅读招标文件，并注意以下事项。</w:t>
      </w:r>
    </w:p>
    <w:p>
      <w:pPr>
        <w:bidi w:val="0"/>
        <w:spacing w:line="360" w:lineRule="auto"/>
        <w:rPr>
          <w:color w:val="auto"/>
          <w:sz w:val="21"/>
          <w:szCs w:val="21"/>
          <w:highlight w:val="none"/>
        </w:rPr>
      </w:pPr>
      <w:r>
        <w:rPr>
          <w:rFonts w:hint="eastAsia"/>
          <w:color w:val="auto"/>
          <w:sz w:val="21"/>
          <w:szCs w:val="21"/>
          <w:highlight w:val="none"/>
          <w:lang w:val="en-US"/>
        </w:rPr>
        <w:t>1.</w:t>
      </w:r>
      <w:r>
        <w:rPr>
          <w:rFonts w:hint="eastAsia"/>
          <w:color w:val="auto"/>
          <w:sz w:val="21"/>
          <w:szCs w:val="21"/>
          <w:highlight w:val="none"/>
        </w:rPr>
        <w:t>供应商应按招标文件规定编制、提交电子投标文件。</w:t>
      </w:r>
      <w:r>
        <w:rPr>
          <w:rFonts w:hint="eastAsia"/>
          <w:color w:val="auto"/>
          <w:sz w:val="21"/>
          <w:szCs w:val="21"/>
          <w:highlight w:val="none"/>
          <w:lang w:val="en-US"/>
        </w:rPr>
        <w:t xml:space="preserve"> </w:t>
      </w:r>
    </w:p>
    <w:p>
      <w:pPr>
        <w:bidi w:val="0"/>
        <w:spacing w:line="360" w:lineRule="auto"/>
        <w:rPr>
          <w:color w:val="auto"/>
          <w:sz w:val="21"/>
          <w:szCs w:val="21"/>
          <w:highlight w:val="none"/>
        </w:rPr>
      </w:pPr>
      <w:r>
        <w:rPr>
          <w:rFonts w:hint="eastAsia"/>
          <w:color w:val="auto"/>
          <w:sz w:val="21"/>
          <w:szCs w:val="21"/>
          <w:highlight w:val="none"/>
          <w:lang w:val="en-US"/>
        </w:rPr>
        <w:t>2.</w:t>
      </w:r>
      <w:r>
        <w:rPr>
          <w:rFonts w:hint="eastAsia"/>
          <w:color w:val="auto"/>
          <w:sz w:val="21"/>
          <w:szCs w:val="21"/>
          <w:highlight w:val="none"/>
        </w:rPr>
        <w:t>本项目供应商不用再提供纸质投标文件。</w:t>
      </w:r>
    </w:p>
    <w:p>
      <w:pPr>
        <w:bidi w:val="0"/>
        <w:spacing w:line="360" w:lineRule="auto"/>
        <w:rPr>
          <w:color w:val="auto"/>
          <w:sz w:val="21"/>
          <w:szCs w:val="21"/>
          <w:highlight w:val="none"/>
        </w:rPr>
      </w:pPr>
      <w:r>
        <w:rPr>
          <w:rFonts w:hint="eastAsia"/>
          <w:color w:val="auto"/>
          <w:sz w:val="21"/>
          <w:szCs w:val="21"/>
          <w:highlight w:val="none"/>
          <w:lang w:val="en-US"/>
        </w:rPr>
        <w:t>3.</w:t>
      </w:r>
      <w:r>
        <w:rPr>
          <w:rFonts w:hint="eastAsia"/>
          <w:color w:val="auto"/>
          <w:sz w:val="21"/>
          <w:szCs w:val="21"/>
          <w:highlight w:val="none"/>
        </w:rPr>
        <w:t>电子文件下载、制作、提交期间和开标（电子投标文件的解密）环节，供应商须使用</w:t>
      </w:r>
      <w:r>
        <w:rPr>
          <w:rFonts w:hint="eastAsia"/>
          <w:color w:val="auto"/>
          <w:sz w:val="21"/>
          <w:szCs w:val="21"/>
          <w:highlight w:val="none"/>
          <w:lang w:val="en-US"/>
        </w:rPr>
        <w:t>CA</w:t>
      </w:r>
      <w:r>
        <w:rPr>
          <w:rFonts w:hint="eastAsia"/>
          <w:color w:val="auto"/>
          <w:sz w:val="21"/>
          <w:szCs w:val="21"/>
          <w:highlight w:val="none"/>
        </w:rPr>
        <w:t>数字证书（证书须在有效期内）。</w:t>
      </w:r>
    </w:p>
    <w:p>
      <w:pPr>
        <w:bidi w:val="0"/>
        <w:spacing w:line="360" w:lineRule="auto"/>
        <w:rPr>
          <w:color w:val="auto"/>
          <w:sz w:val="21"/>
          <w:szCs w:val="21"/>
          <w:highlight w:val="none"/>
        </w:rPr>
      </w:pPr>
      <w:r>
        <w:rPr>
          <w:rFonts w:hint="eastAsia"/>
          <w:color w:val="auto"/>
          <w:sz w:val="21"/>
          <w:szCs w:val="21"/>
          <w:highlight w:val="none"/>
          <w:lang w:val="en-US"/>
        </w:rPr>
        <w:t>4.</w:t>
      </w:r>
      <w:r>
        <w:rPr>
          <w:rFonts w:hint="eastAsia"/>
          <w:color w:val="auto"/>
          <w:sz w:val="21"/>
          <w:szCs w:val="21"/>
          <w:highlight w:val="none"/>
        </w:rPr>
        <w:t>电子投标文件的制作</w:t>
      </w:r>
    </w:p>
    <w:p>
      <w:pPr>
        <w:bidi w:val="0"/>
        <w:spacing w:line="360" w:lineRule="auto"/>
        <w:rPr>
          <w:color w:val="auto"/>
          <w:sz w:val="21"/>
          <w:szCs w:val="21"/>
          <w:highlight w:val="none"/>
        </w:rPr>
      </w:pPr>
      <w:r>
        <w:rPr>
          <w:rFonts w:hint="eastAsia"/>
          <w:color w:val="auto"/>
          <w:sz w:val="21"/>
          <w:szCs w:val="21"/>
          <w:highlight w:val="none"/>
          <w:lang w:val="en-US"/>
        </w:rPr>
        <w:t xml:space="preserve">4.1 </w:t>
      </w:r>
      <w:r>
        <w:rPr>
          <w:rFonts w:hint="eastAsia"/>
          <w:color w:val="auto"/>
          <w:sz w:val="21"/>
          <w:szCs w:val="21"/>
          <w:highlight w:val="none"/>
        </w:rPr>
        <w:t>供应商登录《全国公共资源交易平台</w:t>
      </w:r>
      <w:r>
        <w:rPr>
          <w:rFonts w:hint="eastAsia"/>
          <w:color w:val="auto"/>
          <w:sz w:val="21"/>
          <w:szCs w:val="21"/>
          <w:highlight w:val="none"/>
          <w:lang w:val="en-US"/>
        </w:rPr>
        <w:t>(</w:t>
      </w:r>
      <w:r>
        <w:rPr>
          <w:rFonts w:hint="eastAsia"/>
          <w:color w:val="auto"/>
          <w:sz w:val="21"/>
          <w:szCs w:val="21"/>
          <w:highlight w:val="none"/>
        </w:rPr>
        <w:t>河南省▪平顶山市</w:t>
      </w:r>
      <w:r>
        <w:rPr>
          <w:rFonts w:hint="eastAsia"/>
          <w:color w:val="auto"/>
          <w:sz w:val="21"/>
          <w:szCs w:val="21"/>
          <w:highlight w:val="none"/>
          <w:lang w:val="en-US"/>
        </w:rPr>
        <w:t>)</w:t>
      </w:r>
      <w:r>
        <w:rPr>
          <w:rFonts w:hint="eastAsia"/>
          <w:color w:val="auto"/>
          <w:sz w:val="21"/>
          <w:szCs w:val="21"/>
          <w:highlight w:val="none"/>
        </w:rPr>
        <w:t>》公共资源交易系统（</w:t>
      </w:r>
      <w:r>
        <w:rPr>
          <w:rFonts w:hint="eastAsia"/>
          <w:color w:val="auto"/>
          <w:sz w:val="21"/>
          <w:szCs w:val="21"/>
          <w:highlight w:val="none"/>
          <w:lang w:val="en-US"/>
        </w:rPr>
        <w:t>http://221.176.192.166:8080/ggzy/</w:t>
      </w:r>
      <w:r>
        <w:rPr>
          <w:rFonts w:hint="eastAsia"/>
          <w:color w:val="auto"/>
          <w:sz w:val="21"/>
          <w:szCs w:val="21"/>
          <w:highlight w:val="none"/>
        </w:rPr>
        <w:t>）下载“平顶山投标文件制作系统”，按采购文件要求制作电子投标文件。</w:t>
      </w:r>
    </w:p>
    <w:p>
      <w:pPr>
        <w:bidi w:val="0"/>
        <w:spacing w:line="360" w:lineRule="auto"/>
        <w:rPr>
          <w:color w:val="auto"/>
          <w:sz w:val="21"/>
          <w:szCs w:val="21"/>
          <w:highlight w:val="none"/>
        </w:rPr>
      </w:pPr>
      <w:r>
        <w:rPr>
          <w:rFonts w:hint="eastAsia"/>
          <w:color w:val="auto"/>
          <w:sz w:val="21"/>
          <w:szCs w:val="21"/>
          <w:highlight w:val="none"/>
        </w:rPr>
        <w:t>电子投标文件的制作，参考《全国公共资源交易平台</w:t>
      </w:r>
      <w:r>
        <w:rPr>
          <w:rFonts w:hint="eastAsia"/>
          <w:color w:val="auto"/>
          <w:sz w:val="21"/>
          <w:szCs w:val="21"/>
          <w:highlight w:val="none"/>
          <w:lang w:val="en-US"/>
        </w:rPr>
        <w:t>(</w:t>
      </w:r>
      <w:r>
        <w:rPr>
          <w:rFonts w:hint="eastAsia"/>
          <w:color w:val="auto"/>
          <w:sz w:val="21"/>
          <w:szCs w:val="21"/>
          <w:highlight w:val="none"/>
        </w:rPr>
        <w:t>河南省▪平顶山市</w:t>
      </w:r>
      <w:r>
        <w:rPr>
          <w:rFonts w:hint="eastAsia"/>
          <w:color w:val="auto"/>
          <w:sz w:val="21"/>
          <w:szCs w:val="21"/>
          <w:highlight w:val="none"/>
          <w:lang w:val="en-US"/>
        </w:rPr>
        <w:t>)</w:t>
      </w:r>
      <w:r>
        <w:rPr>
          <w:rFonts w:hint="eastAsia"/>
          <w:color w:val="auto"/>
          <w:sz w:val="21"/>
          <w:szCs w:val="21"/>
          <w:highlight w:val="none"/>
        </w:rPr>
        <w:t>》公共资源交易系统——组件下载——交易系统操作手册（投标人、供应商）。</w:t>
      </w:r>
    </w:p>
    <w:p>
      <w:pPr>
        <w:bidi w:val="0"/>
        <w:spacing w:line="360" w:lineRule="auto"/>
        <w:rPr>
          <w:color w:val="auto"/>
          <w:sz w:val="21"/>
          <w:szCs w:val="21"/>
          <w:highlight w:val="none"/>
        </w:rPr>
      </w:pPr>
      <w:r>
        <w:rPr>
          <w:rFonts w:hint="eastAsia"/>
          <w:color w:val="auto"/>
          <w:sz w:val="21"/>
          <w:szCs w:val="21"/>
          <w:highlight w:val="none"/>
          <w:lang w:val="en-US"/>
        </w:rPr>
        <w:t xml:space="preserve">4.2 </w:t>
      </w:r>
      <w:r>
        <w:rPr>
          <w:rFonts w:hint="eastAsia"/>
          <w:color w:val="auto"/>
          <w:sz w:val="21"/>
          <w:szCs w:val="21"/>
          <w:highlight w:val="none"/>
        </w:rPr>
        <w:t>供应商须将采购文件要求的资质、业绩、荣誉及相关人员证明材料等资料原件扫描件（或图片）制作到所提交的电子投标文件中。</w:t>
      </w:r>
    </w:p>
    <w:p>
      <w:pPr>
        <w:bidi w:val="0"/>
        <w:spacing w:line="360" w:lineRule="auto"/>
        <w:rPr>
          <w:color w:val="auto"/>
          <w:sz w:val="21"/>
          <w:szCs w:val="21"/>
          <w:highlight w:val="none"/>
        </w:rPr>
      </w:pPr>
      <w:r>
        <w:rPr>
          <w:rFonts w:hint="eastAsia"/>
          <w:color w:val="auto"/>
          <w:sz w:val="21"/>
          <w:szCs w:val="21"/>
          <w:highlight w:val="none"/>
          <w:lang w:val="en-US"/>
        </w:rPr>
        <w:t>4.3</w:t>
      </w:r>
      <w:r>
        <w:rPr>
          <w:rFonts w:hint="eastAsia"/>
          <w:color w:val="auto"/>
          <w:sz w:val="21"/>
          <w:szCs w:val="21"/>
          <w:highlight w:val="none"/>
        </w:rPr>
        <w:t>供应商对同一项目多个标段进行投标的，应分别下载所投标段的采购文件，按标段制作电子投标文件，并按采购文件要求在相应位置加盖供应商电子印章和法人电子印章。</w:t>
      </w:r>
    </w:p>
    <w:p>
      <w:pPr>
        <w:bidi w:val="0"/>
        <w:spacing w:line="360" w:lineRule="auto"/>
        <w:rPr>
          <w:color w:val="auto"/>
          <w:sz w:val="21"/>
          <w:szCs w:val="21"/>
          <w:highlight w:val="none"/>
        </w:rPr>
      </w:pPr>
      <w:r>
        <w:rPr>
          <w:rFonts w:hint="eastAsia"/>
          <w:color w:val="auto"/>
          <w:sz w:val="21"/>
          <w:szCs w:val="21"/>
          <w:highlight w:val="none"/>
        </w:rPr>
        <w:t>一个标段对应生成一个文件夹（</w:t>
      </w:r>
      <w:r>
        <w:rPr>
          <w:rFonts w:hint="eastAsia"/>
          <w:color w:val="auto"/>
          <w:sz w:val="21"/>
          <w:szCs w:val="21"/>
          <w:highlight w:val="none"/>
          <w:lang w:val="en-US"/>
        </w:rPr>
        <w:t>xxxx</w:t>
      </w:r>
      <w:r>
        <w:rPr>
          <w:rFonts w:hint="eastAsia"/>
          <w:color w:val="auto"/>
          <w:sz w:val="21"/>
          <w:szCs w:val="21"/>
          <w:highlight w:val="none"/>
        </w:rPr>
        <w:t>项目</w:t>
      </w:r>
      <w:r>
        <w:rPr>
          <w:rFonts w:hint="eastAsia"/>
          <w:color w:val="auto"/>
          <w:sz w:val="21"/>
          <w:szCs w:val="21"/>
          <w:highlight w:val="none"/>
          <w:lang w:val="en-US"/>
        </w:rPr>
        <w:t>xx</w:t>
      </w:r>
      <w:r>
        <w:rPr>
          <w:rFonts w:hint="eastAsia"/>
          <w:color w:val="auto"/>
          <w:sz w:val="21"/>
          <w:szCs w:val="21"/>
          <w:highlight w:val="none"/>
        </w:rPr>
        <w:t>标段）</w:t>
      </w:r>
      <w:r>
        <w:rPr>
          <w:rFonts w:hint="eastAsia"/>
          <w:color w:val="auto"/>
          <w:sz w:val="21"/>
          <w:szCs w:val="21"/>
          <w:highlight w:val="none"/>
          <w:lang w:val="en-US"/>
        </w:rPr>
        <w:t xml:space="preserve">, </w:t>
      </w:r>
      <w:r>
        <w:rPr>
          <w:rFonts w:hint="eastAsia"/>
          <w:color w:val="auto"/>
          <w:sz w:val="21"/>
          <w:szCs w:val="21"/>
          <w:highlight w:val="none"/>
        </w:rPr>
        <w:t>其中包含</w:t>
      </w:r>
      <w:r>
        <w:rPr>
          <w:rFonts w:hint="eastAsia"/>
          <w:color w:val="auto"/>
          <w:sz w:val="21"/>
          <w:szCs w:val="21"/>
          <w:highlight w:val="none"/>
          <w:lang w:val="en-US"/>
        </w:rPr>
        <w:t>2</w:t>
      </w:r>
      <w:r>
        <w:rPr>
          <w:rFonts w:hint="eastAsia"/>
          <w:color w:val="auto"/>
          <w:sz w:val="21"/>
          <w:szCs w:val="21"/>
          <w:highlight w:val="none"/>
        </w:rPr>
        <w:t>个文件和</w:t>
      </w:r>
      <w:r>
        <w:rPr>
          <w:rFonts w:hint="eastAsia"/>
          <w:color w:val="auto"/>
          <w:sz w:val="21"/>
          <w:szCs w:val="21"/>
          <w:highlight w:val="none"/>
          <w:lang w:val="en-US"/>
        </w:rPr>
        <w:t>1</w:t>
      </w:r>
      <w:r>
        <w:rPr>
          <w:rFonts w:hint="eastAsia"/>
          <w:color w:val="auto"/>
          <w:sz w:val="21"/>
          <w:szCs w:val="21"/>
          <w:highlight w:val="none"/>
        </w:rPr>
        <w:t>个文件夹。后缀名为“</w:t>
      </w:r>
      <w:r>
        <w:rPr>
          <w:rFonts w:hint="eastAsia"/>
          <w:color w:val="auto"/>
          <w:sz w:val="21"/>
          <w:szCs w:val="21"/>
          <w:highlight w:val="none"/>
          <w:lang w:val="en-US"/>
        </w:rPr>
        <w:t>.file</w:t>
      </w:r>
      <w:r>
        <w:rPr>
          <w:rFonts w:hint="eastAsia"/>
          <w:color w:val="auto"/>
          <w:sz w:val="21"/>
          <w:szCs w:val="21"/>
          <w:highlight w:val="none"/>
        </w:rPr>
        <w:t>”的文件用于电子投标使用，名称为“备份”的文件夹使用电子介质存储，供开标现场备用。</w:t>
      </w:r>
    </w:p>
    <w:p>
      <w:pPr>
        <w:bidi w:val="0"/>
        <w:spacing w:line="360" w:lineRule="auto"/>
        <w:rPr>
          <w:color w:val="auto"/>
          <w:sz w:val="21"/>
          <w:szCs w:val="21"/>
          <w:highlight w:val="none"/>
        </w:rPr>
      </w:pPr>
      <w:r>
        <w:rPr>
          <w:rFonts w:hint="eastAsia"/>
          <w:color w:val="auto"/>
          <w:sz w:val="21"/>
          <w:szCs w:val="21"/>
          <w:highlight w:val="none"/>
          <w:lang w:val="en-US"/>
        </w:rPr>
        <w:t>5.</w:t>
      </w:r>
      <w:r>
        <w:rPr>
          <w:rFonts w:hint="eastAsia"/>
          <w:color w:val="auto"/>
          <w:sz w:val="21"/>
          <w:szCs w:val="21"/>
          <w:highlight w:val="none"/>
        </w:rPr>
        <w:t>加密电子投标文件的提交</w:t>
      </w:r>
      <w:r>
        <w:rPr>
          <w:rFonts w:hint="eastAsia"/>
          <w:color w:val="auto"/>
          <w:sz w:val="21"/>
          <w:szCs w:val="21"/>
          <w:highlight w:val="none"/>
          <w:lang w:val="en-US"/>
        </w:rPr>
        <w:t xml:space="preserve">           </w:t>
      </w:r>
    </w:p>
    <w:p>
      <w:pPr>
        <w:bidi w:val="0"/>
        <w:spacing w:line="360" w:lineRule="auto"/>
        <w:rPr>
          <w:color w:val="auto"/>
          <w:sz w:val="21"/>
          <w:szCs w:val="21"/>
          <w:highlight w:val="none"/>
        </w:rPr>
      </w:pPr>
      <w:r>
        <w:rPr>
          <w:rFonts w:hint="eastAsia"/>
          <w:color w:val="auto"/>
          <w:sz w:val="21"/>
          <w:szCs w:val="21"/>
          <w:highlight w:val="none"/>
          <w:lang w:val="en-US"/>
        </w:rPr>
        <w:t>5.1</w:t>
      </w:r>
      <w:r>
        <w:rPr>
          <w:rFonts w:hint="eastAsia"/>
          <w:color w:val="auto"/>
          <w:sz w:val="21"/>
          <w:szCs w:val="21"/>
          <w:highlight w:val="none"/>
        </w:rPr>
        <w:t>加密电子投标文件应在采购文件规定的投标截止时间（开标时间）之前成功提交至《全国公共资源交易平台</w:t>
      </w:r>
      <w:r>
        <w:rPr>
          <w:rFonts w:hint="eastAsia"/>
          <w:color w:val="auto"/>
          <w:sz w:val="21"/>
          <w:szCs w:val="21"/>
          <w:highlight w:val="none"/>
          <w:lang w:val="en-US"/>
        </w:rPr>
        <w:t>(</w:t>
      </w:r>
      <w:r>
        <w:rPr>
          <w:rFonts w:hint="eastAsia"/>
          <w:color w:val="auto"/>
          <w:sz w:val="21"/>
          <w:szCs w:val="21"/>
          <w:highlight w:val="none"/>
        </w:rPr>
        <w:t>河南省▪平顶山市</w:t>
      </w:r>
      <w:r>
        <w:rPr>
          <w:rFonts w:hint="eastAsia"/>
          <w:color w:val="auto"/>
          <w:sz w:val="21"/>
          <w:szCs w:val="21"/>
          <w:highlight w:val="none"/>
          <w:lang w:val="en-US"/>
        </w:rPr>
        <w:t>)</w:t>
      </w:r>
      <w:r>
        <w:rPr>
          <w:rFonts w:hint="eastAsia"/>
          <w:color w:val="auto"/>
          <w:sz w:val="21"/>
          <w:szCs w:val="21"/>
          <w:highlight w:val="none"/>
        </w:rPr>
        <w:t>》公共资源交易系统（</w:t>
      </w:r>
      <w:r>
        <w:rPr>
          <w:rFonts w:hint="eastAsia"/>
          <w:color w:val="auto"/>
          <w:sz w:val="21"/>
          <w:szCs w:val="21"/>
          <w:highlight w:val="none"/>
          <w:lang w:val="en-US"/>
        </w:rPr>
        <w:t>http://221.176.192.166:8080/ggzy/</w:t>
      </w:r>
      <w:r>
        <w:rPr>
          <w:rFonts w:hint="eastAsia"/>
          <w:color w:val="auto"/>
          <w:sz w:val="21"/>
          <w:szCs w:val="21"/>
          <w:highlight w:val="none"/>
        </w:rPr>
        <w:t>）。</w:t>
      </w:r>
    </w:p>
    <w:p>
      <w:pPr>
        <w:bidi w:val="0"/>
        <w:spacing w:line="360" w:lineRule="auto"/>
        <w:rPr>
          <w:color w:val="auto"/>
          <w:sz w:val="21"/>
          <w:szCs w:val="21"/>
          <w:highlight w:val="none"/>
        </w:rPr>
      </w:pPr>
      <w:r>
        <w:rPr>
          <w:rFonts w:hint="eastAsia"/>
          <w:color w:val="auto"/>
          <w:sz w:val="21"/>
          <w:szCs w:val="21"/>
          <w:highlight w:val="none"/>
        </w:rPr>
        <w:t>供应商应充分考虑并预留技术处理和上传数据所需时间。</w:t>
      </w:r>
    </w:p>
    <w:p>
      <w:pPr>
        <w:bidi w:val="0"/>
        <w:spacing w:line="360" w:lineRule="auto"/>
        <w:rPr>
          <w:color w:val="auto"/>
          <w:sz w:val="21"/>
          <w:szCs w:val="21"/>
          <w:highlight w:val="none"/>
        </w:rPr>
      </w:pPr>
      <w:r>
        <w:rPr>
          <w:rFonts w:hint="eastAsia"/>
          <w:color w:val="auto"/>
          <w:sz w:val="21"/>
          <w:szCs w:val="21"/>
          <w:highlight w:val="none"/>
          <w:lang w:val="en-US"/>
        </w:rPr>
        <w:t xml:space="preserve">5.2 </w:t>
      </w:r>
      <w:r>
        <w:rPr>
          <w:rFonts w:hint="eastAsia"/>
          <w:color w:val="auto"/>
          <w:sz w:val="21"/>
          <w:szCs w:val="21"/>
          <w:highlight w:val="none"/>
        </w:rPr>
        <w:t>供应商对同一项目多个标段进行投标的，加密电子投标文件应按标段分别提交。</w:t>
      </w:r>
      <w:r>
        <w:rPr>
          <w:color w:val="auto"/>
          <w:sz w:val="21"/>
          <w:szCs w:val="21"/>
          <w:highlight w:val="none"/>
        </w:rPr>
        <w:br w:type="page"/>
      </w:r>
    </w:p>
    <w:p>
      <w:pPr>
        <w:pStyle w:val="8"/>
        <w:spacing w:line="420" w:lineRule="exact"/>
        <w:ind w:firstLine="2640" w:firstLineChars="600"/>
        <w:jc w:val="both"/>
        <w:rPr>
          <w:rFonts w:hint="eastAsia" w:ascii="黑体" w:eastAsia="黑体"/>
          <w:b w:val="0"/>
          <w:color w:val="auto"/>
          <w:szCs w:val="52"/>
          <w:highlight w:val="none"/>
        </w:rPr>
      </w:pPr>
      <w:r>
        <w:rPr>
          <w:rFonts w:hint="eastAsia" w:ascii="黑体" w:eastAsia="黑体"/>
          <w:b w:val="0"/>
          <w:color w:val="auto"/>
          <w:szCs w:val="52"/>
          <w:highlight w:val="none"/>
        </w:rPr>
        <w:t>第二章 投标人须知</w:t>
      </w:r>
      <w:bookmarkEnd w:id="6"/>
      <w:bookmarkEnd w:id="7"/>
    </w:p>
    <w:p>
      <w:pPr>
        <w:pStyle w:val="9"/>
        <w:jc w:val="center"/>
        <w:rPr>
          <w:rFonts w:hint="eastAsia" w:ascii="黑体"/>
          <w:b w:val="0"/>
          <w:color w:val="auto"/>
          <w:highlight w:val="none"/>
        </w:rPr>
      </w:pPr>
      <w:bookmarkStart w:id="8" w:name="_Toc190678809"/>
      <w:bookmarkStart w:id="9" w:name="_Toc432855635"/>
      <w:bookmarkStart w:id="10" w:name="_Toc447198030"/>
      <w:bookmarkStart w:id="11" w:name="_Toc432855124"/>
      <w:bookmarkStart w:id="12" w:name="_Toc448154683"/>
      <w:r>
        <w:rPr>
          <w:rFonts w:hint="eastAsia" w:ascii="黑体"/>
          <w:b w:val="0"/>
          <w:color w:val="auto"/>
          <w:highlight w:val="none"/>
        </w:rPr>
        <w:t>投标人须知前附表</w:t>
      </w:r>
      <w:bookmarkEnd w:id="8"/>
      <w:bookmarkEnd w:id="9"/>
      <w:bookmarkEnd w:id="10"/>
      <w:bookmarkEnd w:id="11"/>
      <w:bookmarkEnd w:id="12"/>
    </w:p>
    <w:tbl>
      <w:tblPr>
        <w:tblStyle w:val="19"/>
        <w:tblW w:w="97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2"/>
        <w:gridCol w:w="1762"/>
        <w:gridCol w:w="7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blHeader/>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35"/>
              <w:jc w:val="center"/>
              <w:rPr>
                <w:rFonts w:hint="eastAsia" w:ascii="宋体"/>
                <w:color w:val="auto"/>
                <w:spacing w:val="1"/>
                <w:kern w:val="0"/>
                <w:sz w:val="24"/>
                <w:szCs w:val="24"/>
                <w:highlight w:val="none"/>
              </w:rPr>
            </w:pPr>
            <w:r>
              <w:rPr>
                <w:rFonts w:hint="eastAsia" w:ascii="宋体"/>
                <w:color w:val="auto"/>
                <w:spacing w:val="1"/>
                <w:kern w:val="0"/>
                <w:sz w:val="24"/>
                <w:szCs w:val="24"/>
                <w:highlight w:val="none"/>
              </w:rPr>
              <w:t>条款号</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67" w:firstLineChars="28"/>
              <w:jc w:val="center"/>
              <w:rPr>
                <w:rFonts w:hint="eastAsia" w:ascii="宋体"/>
                <w:color w:val="auto"/>
                <w:spacing w:val="1"/>
                <w:kern w:val="0"/>
                <w:sz w:val="24"/>
                <w:szCs w:val="24"/>
                <w:highlight w:val="none"/>
              </w:rPr>
            </w:pPr>
            <w:r>
              <w:rPr>
                <w:rFonts w:hint="eastAsia" w:ascii="宋体"/>
                <w:color w:val="auto"/>
                <w:spacing w:val="1"/>
                <w:kern w:val="0"/>
                <w:sz w:val="24"/>
                <w:szCs w:val="24"/>
                <w:highlight w:val="none"/>
              </w:rPr>
              <w:t>条款名称</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35"/>
              <w:jc w:val="center"/>
              <w:rPr>
                <w:rFonts w:hint="eastAsia" w:ascii="宋体"/>
                <w:color w:val="auto"/>
                <w:spacing w:val="1"/>
                <w:kern w:val="0"/>
                <w:sz w:val="24"/>
                <w:szCs w:val="24"/>
                <w:highlight w:val="none"/>
              </w:rPr>
            </w:pPr>
            <w:r>
              <w:rPr>
                <w:rFonts w:hint="eastAsia" w:ascii="宋体"/>
                <w:color w:val="auto"/>
                <w:spacing w:val="1"/>
                <w:kern w:val="0"/>
                <w:sz w:val="24"/>
                <w:szCs w:val="24"/>
                <w:highlight w:val="none"/>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1"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left="182" w:right="-20"/>
              <w:rPr>
                <w:rFonts w:hint="default" w:ascii="宋体" w:eastAsia="宋体"/>
                <w:color w:val="auto"/>
                <w:spacing w:val="1"/>
                <w:kern w:val="0"/>
                <w:sz w:val="24"/>
                <w:szCs w:val="24"/>
                <w:highlight w:val="none"/>
                <w:lang w:val="en-US" w:eastAsia="zh-CN"/>
              </w:rPr>
            </w:pPr>
            <w:r>
              <w:rPr>
                <w:rFonts w:hint="eastAsia" w:ascii="宋体"/>
                <w:color w:val="auto"/>
                <w:spacing w:val="1"/>
                <w:kern w:val="0"/>
                <w:sz w:val="24"/>
                <w:szCs w:val="24"/>
                <w:highlight w:val="none"/>
                <w:lang w:val="en-US" w:eastAsia="zh-CN"/>
              </w:rPr>
              <w:t>1.1.2</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35"/>
              <w:jc w:val="center"/>
              <w:rPr>
                <w:rFonts w:hint="eastAsia" w:ascii="宋体"/>
                <w:color w:val="auto"/>
                <w:spacing w:val="1"/>
                <w:kern w:val="0"/>
                <w:sz w:val="24"/>
                <w:szCs w:val="24"/>
                <w:highlight w:val="none"/>
              </w:rPr>
            </w:pPr>
            <w:r>
              <w:rPr>
                <w:rFonts w:hint="eastAsia" w:ascii="宋体"/>
                <w:color w:val="auto"/>
                <w:spacing w:val="1"/>
                <w:kern w:val="0"/>
                <w:sz w:val="24"/>
                <w:szCs w:val="24"/>
                <w:highlight w:val="none"/>
              </w:rPr>
              <w:t>招标人</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rPr>
                <w:rFonts w:hint="default" w:ascii="宋体" w:hAnsi="宋体" w:eastAsia="宋体"/>
                <w:color w:val="auto"/>
                <w:sz w:val="24"/>
                <w:szCs w:val="24"/>
                <w:highlight w:val="none"/>
                <w:lang w:val="en-US" w:eastAsia="zh-CN"/>
              </w:rPr>
            </w:pPr>
            <w:r>
              <w:rPr>
                <w:rFonts w:hint="default" w:ascii="宋体" w:hAnsi="宋体" w:eastAsia="宋体"/>
                <w:color w:val="auto"/>
                <w:sz w:val="24"/>
                <w:szCs w:val="24"/>
                <w:highlight w:val="none"/>
                <w:lang w:val="en-US" w:eastAsia="zh-CN"/>
              </w:rPr>
              <w:t>招 标 人：</w:t>
            </w:r>
            <w:r>
              <w:rPr>
                <w:rFonts w:hint="eastAsia" w:ascii="宋体" w:hAnsi="宋体"/>
                <w:color w:val="auto"/>
                <w:sz w:val="24"/>
                <w:szCs w:val="24"/>
                <w:highlight w:val="none"/>
                <w:lang w:val="en-US" w:eastAsia="zh-CN"/>
              </w:rPr>
              <w:t>平顶山交通水利建设投资有限公司</w:t>
            </w:r>
            <w:r>
              <w:rPr>
                <w:rFonts w:hint="default" w:ascii="宋体" w:hAnsi="宋体" w:eastAsia="宋体"/>
                <w:color w:val="auto"/>
                <w:sz w:val="24"/>
                <w:szCs w:val="24"/>
                <w:highlight w:val="none"/>
                <w:lang w:val="en-US" w:eastAsia="zh-CN"/>
              </w:rPr>
              <w:t xml:space="preserve">          </w:t>
            </w:r>
          </w:p>
          <w:p>
            <w:pPr>
              <w:spacing w:line="360" w:lineRule="exact"/>
              <w:rPr>
                <w:rFonts w:hint="default" w:ascii="宋体" w:hAnsi="宋体" w:eastAsia="宋体"/>
                <w:color w:val="auto"/>
                <w:sz w:val="24"/>
                <w:szCs w:val="24"/>
                <w:highlight w:val="none"/>
                <w:lang w:val="en-US" w:eastAsia="zh-CN"/>
              </w:rPr>
            </w:pPr>
            <w:r>
              <w:rPr>
                <w:rFonts w:hint="default" w:ascii="宋体" w:hAnsi="宋体" w:eastAsia="宋体"/>
                <w:color w:val="auto"/>
                <w:sz w:val="24"/>
                <w:szCs w:val="24"/>
                <w:highlight w:val="none"/>
                <w:lang w:val="en-US" w:eastAsia="zh-CN"/>
              </w:rPr>
              <w:t xml:space="preserve">联 系 人：马先生         </w:t>
            </w:r>
          </w:p>
          <w:p>
            <w:pPr>
              <w:spacing w:line="360" w:lineRule="exact"/>
              <w:rPr>
                <w:rFonts w:hint="default" w:ascii="宋体" w:hAnsi="宋体" w:eastAsia="宋体"/>
                <w:color w:val="auto"/>
                <w:sz w:val="24"/>
                <w:szCs w:val="24"/>
                <w:highlight w:val="none"/>
                <w:lang w:val="en-US" w:eastAsia="zh-CN"/>
              </w:rPr>
            </w:pPr>
            <w:r>
              <w:rPr>
                <w:rFonts w:hint="default" w:ascii="宋体" w:hAnsi="宋体" w:eastAsia="宋体"/>
                <w:color w:val="auto"/>
                <w:sz w:val="24"/>
                <w:szCs w:val="24"/>
                <w:highlight w:val="none"/>
                <w:lang w:val="en-US" w:eastAsia="zh-CN"/>
              </w:rPr>
              <w:t xml:space="preserve">电    话：18037596888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9"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olor w:val="auto"/>
                <w:spacing w:val="1"/>
                <w:kern w:val="0"/>
                <w:sz w:val="24"/>
                <w:szCs w:val="24"/>
                <w:highlight w:val="none"/>
              </w:rPr>
            </w:pPr>
            <w:r>
              <w:rPr>
                <w:rFonts w:hint="eastAsia" w:ascii="宋体"/>
                <w:color w:val="auto"/>
                <w:spacing w:val="1"/>
                <w:kern w:val="0"/>
                <w:sz w:val="24"/>
                <w:szCs w:val="24"/>
                <w:highlight w:val="none"/>
              </w:rPr>
              <w:t>1.1.3</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35"/>
              <w:jc w:val="center"/>
              <w:rPr>
                <w:rFonts w:hint="eastAsia" w:ascii="宋体"/>
                <w:color w:val="auto"/>
                <w:spacing w:val="1"/>
                <w:kern w:val="0"/>
                <w:sz w:val="24"/>
                <w:szCs w:val="24"/>
                <w:highlight w:val="none"/>
              </w:rPr>
            </w:pPr>
            <w:r>
              <w:rPr>
                <w:rFonts w:hint="eastAsia" w:ascii="宋体"/>
                <w:color w:val="auto"/>
                <w:spacing w:val="1"/>
                <w:kern w:val="0"/>
                <w:sz w:val="24"/>
                <w:szCs w:val="24"/>
                <w:highlight w:val="none"/>
              </w:rPr>
              <w:t>招标代理机构</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rPr>
                <w:rFonts w:hint="eastAsia" w:ascii="宋体"/>
                <w:color w:val="auto"/>
                <w:sz w:val="24"/>
                <w:szCs w:val="24"/>
                <w:highlight w:val="none"/>
                <w:lang w:val="en-US"/>
              </w:rPr>
            </w:pPr>
            <w:r>
              <w:rPr>
                <w:rFonts w:hint="eastAsia" w:ascii="宋体"/>
                <w:color w:val="auto"/>
                <w:sz w:val="24"/>
                <w:szCs w:val="24"/>
                <w:highlight w:val="none"/>
                <w:lang w:val="en-US"/>
              </w:rPr>
              <w:t xml:space="preserve">招标代理机构：河南财锐工程咨询服务有限公司  </w:t>
            </w:r>
          </w:p>
          <w:p>
            <w:pPr>
              <w:spacing w:line="360" w:lineRule="exact"/>
              <w:rPr>
                <w:rFonts w:hint="eastAsia" w:ascii="宋体"/>
                <w:color w:val="auto"/>
                <w:sz w:val="24"/>
                <w:szCs w:val="24"/>
                <w:highlight w:val="none"/>
                <w:lang w:val="en-US" w:eastAsia="zh-CN"/>
              </w:rPr>
            </w:pPr>
            <w:r>
              <w:rPr>
                <w:rFonts w:hint="eastAsia" w:ascii="宋体"/>
                <w:color w:val="auto"/>
                <w:sz w:val="24"/>
                <w:szCs w:val="24"/>
                <w:highlight w:val="none"/>
                <w:lang w:val="en-US"/>
              </w:rPr>
              <w:t>联</w:t>
            </w:r>
            <w:r>
              <w:rPr>
                <w:rFonts w:hint="eastAsia" w:ascii="宋体"/>
                <w:color w:val="auto"/>
                <w:sz w:val="24"/>
                <w:szCs w:val="24"/>
                <w:highlight w:val="none"/>
                <w:lang w:val="en-US" w:eastAsia="zh-CN"/>
              </w:rPr>
              <w:t xml:space="preserve"> </w:t>
            </w:r>
            <w:r>
              <w:rPr>
                <w:rFonts w:hint="eastAsia" w:ascii="宋体"/>
                <w:color w:val="auto"/>
                <w:sz w:val="24"/>
                <w:szCs w:val="24"/>
                <w:highlight w:val="none"/>
                <w:lang w:val="en-US"/>
              </w:rPr>
              <w:t>系</w:t>
            </w:r>
            <w:r>
              <w:rPr>
                <w:rFonts w:hint="eastAsia" w:ascii="宋体"/>
                <w:color w:val="auto"/>
                <w:sz w:val="24"/>
                <w:szCs w:val="24"/>
                <w:highlight w:val="none"/>
                <w:lang w:val="en-US" w:eastAsia="zh-CN"/>
              </w:rPr>
              <w:t xml:space="preserve"> </w:t>
            </w:r>
            <w:r>
              <w:rPr>
                <w:rFonts w:hint="eastAsia" w:ascii="宋体"/>
                <w:color w:val="auto"/>
                <w:sz w:val="24"/>
                <w:szCs w:val="24"/>
                <w:highlight w:val="none"/>
                <w:lang w:val="en-US"/>
              </w:rPr>
              <w:t>人：</w:t>
            </w:r>
            <w:r>
              <w:rPr>
                <w:rFonts w:hint="eastAsia" w:ascii="宋体"/>
                <w:color w:val="auto"/>
                <w:sz w:val="24"/>
                <w:szCs w:val="24"/>
                <w:highlight w:val="none"/>
                <w:lang w:val="en-US" w:eastAsia="zh-CN"/>
              </w:rPr>
              <w:t xml:space="preserve"> </w:t>
            </w:r>
            <w:r>
              <w:rPr>
                <w:rFonts w:hint="eastAsia" w:ascii="宋体"/>
                <w:color w:val="auto"/>
                <w:sz w:val="24"/>
                <w:szCs w:val="24"/>
                <w:highlight w:val="none"/>
                <w:lang w:val="en-US"/>
              </w:rPr>
              <w:t>李女士</w:t>
            </w:r>
          </w:p>
          <w:p>
            <w:pPr>
              <w:spacing w:line="360" w:lineRule="exact"/>
              <w:rPr>
                <w:rFonts w:hint="eastAsia" w:ascii="宋体"/>
                <w:color w:val="auto"/>
                <w:sz w:val="24"/>
                <w:szCs w:val="24"/>
                <w:highlight w:val="none"/>
                <w:lang w:val="en-US"/>
              </w:rPr>
            </w:pPr>
            <w:r>
              <w:rPr>
                <w:rFonts w:hint="eastAsia" w:ascii="宋体"/>
                <w:color w:val="auto"/>
                <w:sz w:val="24"/>
                <w:szCs w:val="24"/>
                <w:highlight w:val="none"/>
                <w:lang w:val="en-US"/>
              </w:rPr>
              <w:t xml:space="preserve">电 </w:t>
            </w:r>
            <w:r>
              <w:rPr>
                <w:rFonts w:hint="eastAsia" w:ascii="宋体"/>
                <w:color w:val="auto"/>
                <w:sz w:val="24"/>
                <w:szCs w:val="24"/>
                <w:highlight w:val="none"/>
                <w:lang w:val="en-US" w:eastAsia="zh-CN"/>
              </w:rPr>
              <w:t xml:space="preserve">  </w:t>
            </w:r>
            <w:r>
              <w:rPr>
                <w:rFonts w:hint="eastAsia" w:ascii="宋体"/>
                <w:color w:val="auto"/>
                <w:sz w:val="24"/>
                <w:szCs w:val="24"/>
                <w:highlight w:val="none"/>
                <w:lang w:val="en-US"/>
              </w:rPr>
              <w:t xml:space="preserve"> 话：0375-2922888</w:t>
            </w:r>
            <w:r>
              <w:rPr>
                <w:rFonts w:hint="eastAsia" w:ascii="宋体"/>
                <w:color w:val="auto"/>
                <w:sz w:val="24"/>
                <w:szCs w:val="24"/>
                <w:highlight w:val="none"/>
                <w:lang w:val="en-US" w:eastAsia="zh-CN"/>
              </w:rPr>
              <w:t xml:space="preserve"> </w:t>
            </w:r>
            <w:r>
              <w:rPr>
                <w:rFonts w:hint="eastAsia" w:ascii="宋体"/>
                <w:color w:val="auto"/>
                <w:sz w:val="24"/>
                <w:szCs w:val="24"/>
                <w:highlight w:val="none"/>
                <w:lang w:val="en-US"/>
              </w:rPr>
              <w:t xml:space="preserve">  </w:t>
            </w:r>
          </w:p>
          <w:p>
            <w:pPr>
              <w:spacing w:line="360" w:lineRule="exact"/>
              <w:rPr>
                <w:rFonts w:hint="eastAsia" w:ascii="宋体"/>
                <w:color w:val="auto"/>
                <w:sz w:val="24"/>
                <w:szCs w:val="24"/>
                <w:highlight w:val="none"/>
                <w:lang w:val="en-US"/>
              </w:rPr>
            </w:pPr>
            <w:r>
              <w:rPr>
                <w:rFonts w:hint="eastAsia" w:ascii="宋体"/>
                <w:color w:val="auto"/>
                <w:sz w:val="24"/>
                <w:szCs w:val="24"/>
                <w:highlight w:val="none"/>
                <w:lang w:val="en-US"/>
              </w:rPr>
              <w:t xml:space="preserve">地  </w:t>
            </w:r>
            <w:r>
              <w:rPr>
                <w:rFonts w:hint="eastAsia" w:ascii="宋体"/>
                <w:color w:val="auto"/>
                <w:sz w:val="24"/>
                <w:szCs w:val="24"/>
                <w:highlight w:val="none"/>
                <w:lang w:val="en-US" w:eastAsia="zh-CN"/>
              </w:rPr>
              <w:t xml:space="preserve">  </w:t>
            </w:r>
            <w:r>
              <w:rPr>
                <w:rFonts w:hint="eastAsia" w:ascii="宋体"/>
                <w:color w:val="auto"/>
                <w:sz w:val="24"/>
                <w:szCs w:val="24"/>
                <w:highlight w:val="none"/>
                <w:lang w:val="en-US"/>
              </w:rPr>
              <w:t>址：平顶山市未来路凤凰花园小区6号楼1层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1"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olor w:val="auto"/>
                <w:spacing w:val="1"/>
                <w:kern w:val="0"/>
                <w:sz w:val="24"/>
                <w:szCs w:val="24"/>
                <w:highlight w:val="none"/>
              </w:rPr>
            </w:pPr>
            <w:r>
              <w:rPr>
                <w:rFonts w:hint="eastAsia" w:ascii="宋体"/>
                <w:color w:val="auto"/>
                <w:spacing w:val="1"/>
                <w:kern w:val="0"/>
                <w:sz w:val="24"/>
                <w:szCs w:val="24"/>
                <w:highlight w:val="none"/>
              </w:rPr>
              <w:t>1.1.4</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35"/>
              <w:jc w:val="center"/>
              <w:rPr>
                <w:rFonts w:hint="eastAsia" w:ascii="宋体"/>
                <w:color w:val="auto"/>
                <w:spacing w:val="1"/>
                <w:kern w:val="0"/>
                <w:sz w:val="24"/>
                <w:szCs w:val="24"/>
                <w:highlight w:val="none"/>
              </w:rPr>
            </w:pPr>
            <w:r>
              <w:rPr>
                <w:rFonts w:hint="eastAsia" w:ascii="宋体"/>
                <w:color w:val="auto"/>
                <w:spacing w:val="1"/>
                <w:kern w:val="0"/>
                <w:sz w:val="24"/>
                <w:szCs w:val="24"/>
                <w:highlight w:val="none"/>
              </w:rPr>
              <w:t>项目名称</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24"/>
              <w:ind w:firstLine="0" w:firstLineChars="0"/>
              <w:rPr>
                <w:rFonts w:hint="default" w:ascii="宋体" w:eastAsia="宋体"/>
                <w:color w:val="auto"/>
                <w:sz w:val="24"/>
                <w:szCs w:val="24"/>
                <w:highlight w:val="none"/>
                <w:lang w:val="en-US" w:eastAsia="zh-CN"/>
              </w:rPr>
            </w:pPr>
            <w:r>
              <w:rPr>
                <w:rFonts w:hint="eastAsia" w:ascii="宋体" w:hAnsi="Times New Roman" w:eastAsia="宋体" w:cs="Times New Roman"/>
                <w:color w:val="auto"/>
                <w:kern w:val="2"/>
                <w:sz w:val="24"/>
                <w:szCs w:val="24"/>
                <w:highlight w:val="none"/>
                <w:lang w:val="en-US" w:eastAsia="zh-CN" w:bidi="ar-SA"/>
              </w:rPr>
              <w:t>平顶山东部客运枢纽站项目施工及监理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1"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olor w:val="auto"/>
                <w:spacing w:val="1"/>
                <w:kern w:val="0"/>
                <w:sz w:val="24"/>
                <w:szCs w:val="24"/>
                <w:highlight w:val="none"/>
              </w:rPr>
            </w:pPr>
            <w:r>
              <w:rPr>
                <w:rFonts w:hint="eastAsia" w:ascii="宋体"/>
                <w:color w:val="auto"/>
                <w:spacing w:val="1"/>
                <w:kern w:val="0"/>
                <w:sz w:val="24"/>
                <w:szCs w:val="24"/>
                <w:highlight w:val="none"/>
              </w:rPr>
              <w:t>1.1.5</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35"/>
              <w:jc w:val="center"/>
              <w:rPr>
                <w:rFonts w:hint="eastAsia" w:ascii="宋体"/>
                <w:color w:val="auto"/>
                <w:sz w:val="24"/>
                <w:szCs w:val="24"/>
                <w:highlight w:val="none"/>
              </w:rPr>
            </w:pPr>
            <w:r>
              <w:rPr>
                <w:rFonts w:hint="eastAsia" w:ascii="宋体"/>
                <w:color w:val="auto"/>
                <w:sz w:val="24"/>
                <w:szCs w:val="24"/>
                <w:highlight w:val="none"/>
              </w:rPr>
              <w:t>建设地点</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400" w:lineRule="exact"/>
              <w:rPr>
                <w:rFonts w:hint="default" w:ascii="宋体" w:eastAsia="宋体"/>
                <w:color w:val="auto"/>
                <w:sz w:val="24"/>
                <w:szCs w:val="24"/>
                <w:highlight w:val="none"/>
                <w:lang w:val="en-US" w:eastAsia="zh-CN"/>
              </w:rPr>
            </w:pPr>
            <w:r>
              <w:rPr>
                <w:rFonts w:hint="eastAsia" w:ascii="宋体"/>
                <w:color w:val="auto"/>
                <w:sz w:val="24"/>
                <w:szCs w:val="24"/>
                <w:highlight w:val="none"/>
                <w:lang w:val="en-US" w:eastAsia="zh-CN"/>
              </w:rPr>
              <w:t>平顶山卫东区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olor w:val="auto"/>
                <w:spacing w:val="1"/>
                <w:kern w:val="0"/>
                <w:sz w:val="24"/>
                <w:szCs w:val="24"/>
                <w:highlight w:val="none"/>
              </w:rPr>
            </w:pPr>
            <w:r>
              <w:rPr>
                <w:rFonts w:hint="eastAsia" w:ascii="宋体"/>
                <w:color w:val="auto"/>
                <w:spacing w:val="1"/>
                <w:kern w:val="0"/>
                <w:sz w:val="24"/>
                <w:szCs w:val="24"/>
                <w:highlight w:val="none"/>
              </w:rPr>
              <w:t>1.2.1</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35"/>
              <w:jc w:val="center"/>
              <w:rPr>
                <w:rFonts w:hint="eastAsia" w:ascii="宋体"/>
                <w:color w:val="auto"/>
                <w:spacing w:val="1"/>
                <w:kern w:val="0"/>
                <w:sz w:val="24"/>
                <w:szCs w:val="24"/>
                <w:highlight w:val="none"/>
              </w:rPr>
            </w:pPr>
            <w:r>
              <w:rPr>
                <w:rFonts w:hint="eastAsia" w:ascii="宋体"/>
                <w:color w:val="auto"/>
                <w:spacing w:val="1"/>
                <w:kern w:val="0"/>
                <w:sz w:val="24"/>
                <w:szCs w:val="24"/>
                <w:highlight w:val="none"/>
              </w:rPr>
              <w:t>资金来源</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rPr>
                <w:rFonts w:hint="eastAsia" w:ascii="宋体"/>
                <w:color w:val="auto"/>
                <w:spacing w:val="1"/>
                <w:kern w:val="0"/>
                <w:sz w:val="24"/>
                <w:szCs w:val="24"/>
                <w:highlight w:val="none"/>
              </w:rPr>
            </w:pPr>
            <w:r>
              <w:rPr>
                <w:rFonts w:hint="eastAsia" w:ascii="宋体"/>
                <w:color w:val="auto"/>
                <w:spacing w:val="1"/>
                <w:kern w:val="0"/>
                <w:sz w:val="24"/>
                <w:szCs w:val="24"/>
                <w:highlight w:val="none"/>
                <w:lang w:eastAsia="zh-CN"/>
              </w:rPr>
              <w:t>自筹资金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eastAsia="宋体"/>
                <w:color w:val="auto"/>
                <w:spacing w:val="1"/>
                <w:kern w:val="0"/>
                <w:sz w:val="24"/>
                <w:szCs w:val="24"/>
                <w:highlight w:val="none"/>
                <w:lang w:eastAsia="zh-CN"/>
              </w:rPr>
            </w:pPr>
            <w:r>
              <w:rPr>
                <w:rFonts w:hint="eastAsia" w:ascii="宋体"/>
                <w:color w:val="auto"/>
                <w:spacing w:val="1"/>
                <w:kern w:val="0"/>
                <w:sz w:val="24"/>
                <w:szCs w:val="24"/>
                <w:highlight w:val="none"/>
              </w:rPr>
              <w:t>1.2.</w:t>
            </w:r>
            <w:r>
              <w:rPr>
                <w:rFonts w:hint="eastAsia" w:ascii="宋体"/>
                <w:color w:val="auto"/>
                <w:spacing w:val="1"/>
                <w:kern w:val="0"/>
                <w:sz w:val="24"/>
                <w:szCs w:val="24"/>
                <w:highlight w:val="none"/>
                <w:lang w:val="en-US" w:eastAsia="zh-CN"/>
              </w:rPr>
              <w:t>2</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35"/>
              <w:jc w:val="center"/>
              <w:rPr>
                <w:rFonts w:hint="eastAsia" w:ascii="宋体"/>
                <w:color w:val="auto"/>
                <w:spacing w:val="1"/>
                <w:kern w:val="0"/>
                <w:sz w:val="24"/>
                <w:szCs w:val="24"/>
                <w:highlight w:val="none"/>
              </w:rPr>
            </w:pPr>
            <w:r>
              <w:rPr>
                <w:rFonts w:hint="eastAsia" w:ascii="宋体"/>
                <w:color w:val="auto"/>
                <w:spacing w:val="1"/>
                <w:kern w:val="0"/>
                <w:sz w:val="24"/>
                <w:szCs w:val="24"/>
                <w:highlight w:val="none"/>
              </w:rPr>
              <w:t>资金落实情况</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rPr>
                <w:rFonts w:hint="eastAsia" w:ascii="宋体"/>
                <w:color w:val="auto"/>
                <w:spacing w:val="1"/>
                <w:kern w:val="0"/>
                <w:sz w:val="24"/>
                <w:szCs w:val="24"/>
                <w:highlight w:val="none"/>
              </w:rPr>
            </w:pPr>
            <w:r>
              <w:rPr>
                <w:rFonts w:hint="eastAsia" w:ascii="宋体"/>
                <w:color w:val="auto"/>
                <w:spacing w:val="1"/>
                <w:kern w:val="0"/>
                <w:sz w:val="24"/>
                <w:szCs w:val="24"/>
                <w:highlight w:val="none"/>
              </w:rPr>
              <w:t>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olor w:val="auto"/>
                <w:spacing w:val="1"/>
                <w:kern w:val="0"/>
                <w:sz w:val="24"/>
                <w:szCs w:val="24"/>
                <w:highlight w:val="none"/>
              </w:rPr>
            </w:pPr>
            <w:r>
              <w:rPr>
                <w:rFonts w:hint="eastAsia" w:ascii="宋体"/>
                <w:color w:val="auto"/>
                <w:spacing w:val="1"/>
                <w:kern w:val="0"/>
                <w:sz w:val="24"/>
                <w:szCs w:val="24"/>
                <w:highlight w:val="none"/>
              </w:rPr>
              <w:t>1.3.1</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35"/>
              <w:jc w:val="center"/>
              <w:rPr>
                <w:rFonts w:hint="eastAsia" w:ascii="宋体"/>
                <w:color w:val="auto"/>
                <w:spacing w:val="1"/>
                <w:kern w:val="0"/>
                <w:sz w:val="24"/>
                <w:szCs w:val="24"/>
                <w:highlight w:val="none"/>
              </w:rPr>
            </w:pPr>
            <w:r>
              <w:rPr>
                <w:rFonts w:hint="eastAsia" w:ascii="宋体"/>
                <w:color w:val="auto"/>
                <w:spacing w:val="1"/>
                <w:kern w:val="0"/>
                <w:sz w:val="24"/>
                <w:szCs w:val="24"/>
                <w:highlight w:val="none"/>
              </w:rPr>
              <w:t>招标范围</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320" w:lineRule="exact"/>
              <w:rPr>
                <w:rFonts w:hint="default" w:ascii="宋体" w:eastAsia="宋体"/>
                <w:color w:val="auto"/>
                <w:spacing w:val="1"/>
                <w:kern w:val="0"/>
                <w:sz w:val="24"/>
                <w:szCs w:val="24"/>
                <w:highlight w:val="none"/>
                <w:lang w:val="en-US" w:eastAsia="zh-CN"/>
              </w:rPr>
            </w:pPr>
            <w:r>
              <w:rPr>
                <w:rFonts w:hint="eastAsia" w:ascii="宋体" w:hAnsi="宋体" w:eastAsia="宋体" w:cs="宋体"/>
                <w:color w:val="auto"/>
                <w:sz w:val="21"/>
                <w:szCs w:val="21"/>
                <w:highlight w:val="none"/>
                <w:lang w:val="en-US" w:eastAsia="zh-CN"/>
              </w:rPr>
              <w:t>图纸及工程量清单范围内的所有内容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olor w:val="auto"/>
                <w:spacing w:val="1"/>
                <w:kern w:val="0"/>
                <w:sz w:val="24"/>
                <w:szCs w:val="24"/>
                <w:highlight w:val="none"/>
              </w:rPr>
            </w:pPr>
            <w:r>
              <w:rPr>
                <w:rFonts w:hint="eastAsia" w:ascii="宋体"/>
                <w:color w:val="auto"/>
                <w:spacing w:val="1"/>
                <w:kern w:val="0"/>
                <w:sz w:val="24"/>
                <w:szCs w:val="24"/>
                <w:highlight w:val="none"/>
              </w:rPr>
              <w:t xml:space="preserve">1.3.2 </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35"/>
              <w:jc w:val="center"/>
              <w:rPr>
                <w:rFonts w:hint="eastAsia" w:ascii="宋体"/>
                <w:color w:val="auto"/>
                <w:spacing w:val="1"/>
                <w:kern w:val="0"/>
                <w:sz w:val="24"/>
                <w:szCs w:val="24"/>
                <w:highlight w:val="none"/>
              </w:rPr>
            </w:pPr>
            <w:r>
              <w:rPr>
                <w:rFonts w:hint="eastAsia" w:ascii="宋体" w:hAnsi="宋体" w:eastAsia="宋体" w:cs="宋体"/>
                <w:color w:val="auto"/>
                <w:sz w:val="24"/>
                <w:szCs w:val="24"/>
                <w:highlight w:val="none"/>
                <w:lang w:val="zh-CN" w:eastAsia="zh-CN"/>
              </w:rPr>
              <w:t>施工工期</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76" w:lineRule="auto"/>
              <w:rPr>
                <w:rFonts w:hint="eastAsia" w:ascii="宋体"/>
                <w:color w:val="auto"/>
                <w:sz w:val="24"/>
                <w:szCs w:val="24"/>
                <w:highlight w:val="none"/>
              </w:rPr>
            </w:pPr>
            <w:r>
              <w:rPr>
                <w:rFonts w:hint="eastAsia" w:ascii="宋体" w:hAnsi="宋体" w:cs="宋体"/>
                <w:color w:val="auto"/>
                <w:sz w:val="24"/>
                <w:szCs w:val="24"/>
                <w:highlight w:val="none"/>
                <w:lang w:val="en-US" w:eastAsia="zh-CN"/>
              </w:rPr>
              <w:t xml:space="preserve">施工工期 </w:t>
            </w:r>
            <w:r>
              <w:rPr>
                <w:rFonts w:hint="eastAsia" w:ascii="宋体" w:hAnsi="宋体" w:cs="宋体"/>
                <w:color w:val="auto"/>
                <w:sz w:val="24"/>
                <w:szCs w:val="24"/>
                <w:highlight w:val="none"/>
                <w:u w:val="single"/>
                <w:lang w:val="en-US" w:eastAsia="zh-CN"/>
              </w:rPr>
              <w:t>720</w:t>
            </w:r>
            <w:r>
              <w:rPr>
                <w:rFonts w:hint="eastAsia" w:ascii="宋体" w:hAnsi="宋体" w:cs="宋体"/>
                <w:color w:val="auto"/>
                <w:sz w:val="24"/>
                <w:szCs w:val="24"/>
                <w:highlight w:val="none"/>
                <w:u w:val="none"/>
                <w:lang w:val="en-US" w:eastAsia="zh-CN"/>
              </w:rPr>
              <w:t xml:space="preserve">日历天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olor w:val="auto"/>
                <w:spacing w:val="1"/>
                <w:kern w:val="0"/>
                <w:sz w:val="24"/>
                <w:szCs w:val="24"/>
                <w:highlight w:val="none"/>
              </w:rPr>
            </w:pPr>
            <w:r>
              <w:rPr>
                <w:rFonts w:hint="eastAsia" w:ascii="宋体"/>
                <w:color w:val="auto"/>
                <w:spacing w:val="1"/>
                <w:kern w:val="0"/>
                <w:sz w:val="24"/>
                <w:szCs w:val="24"/>
                <w:highlight w:val="none"/>
              </w:rPr>
              <w:t>1.3.3</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35"/>
              <w:jc w:val="center"/>
              <w:rPr>
                <w:rFonts w:hint="eastAsia" w:ascii="宋体"/>
                <w:color w:val="auto"/>
                <w:spacing w:val="1"/>
                <w:kern w:val="0"/>
                <w:sz w:val="24"/>
                <w:szCs w:val="24"/>
                <w:highlight w:val="none"/>
              </w:rPr>
            </w:pPr>
            <w:r>
              <w:rPr>
                <w:rFonts w:hint="eastAsia" w:ascii="宋体"/>
                <w:color w:val="auto"/>
                <w:spacing w:val="1"/>
                <w:kern w:val="0"/>
                <w:sz w:val="24"/>
                <w:szCs w:val="24"/>
                <w:highlight w:val="none"/>
              </w:rPr>
              <w:t>质量要求</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320" w:lineRule="exact"/>
              <w:rPr>
                <w:rFonts w:hint="eastAsia"/>
                <w:color w:val="auto"/>
                <w:sz w:val="24"/>
                <w:szCs w:val="32"/>
                <w:highlight w:val="none"/>
              </w:rPr>
            </w:pPr>
            <w:r>
              <w:rPr>
                <w:rFonts w:hint="eastAsia"/>
                <w:color w:val="auto"/>
                <w:sz w:val="24"/>
                <w:szCs w:val="32"/>
                <w:highlight w:val="none"/>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8"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1.4.1</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35"/>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投标人资格要求</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440" w:lineRule="exact"/>
              <w:rPr>
                <w:rFonts w:hint="eastAsia" w:ascii="宋体" w:cs="宋体"/>
                <w:color w:val="auto"/>
                <w:sz w:val="24"/>
                <w:szCs w:val="24"/>
                <w:highlight w:val="none"/>
                <w:lang w:bidi="ar-SA"/>
              </w:rPr>
            </w:pPr>
            <w:r>
              <w:rPr>
                <w:rFonts w:hint="eastAsia" w:ascii="宋体" w:cs="宋体"/>
                <w:b/>
                <w:bCs/>
                <w:color w:val="auto"/>
                <w:sz w:val="28"/>
                <w:szCs w:val="28"/>
                <w:highlight w:val="none"/>
                <w:lang w:bidi="ar-SA"/>
              </w:rPr>
              <w:t xml:space="preserve">详见招标文件第一章 招标公告 </w:t>
            </w:r>
            <w:r>
              <w:rPr>
                <w:rFonts w:hint="eastAsia" w:ascii="宋体" w:cs="宋体"/>
                <w:b/>
                <w:bCs/>
                <w:color w:val="auto"/>
                <w:sz w:val="28"/>
                <w:szCs w:val="28"/>
                <w:highlight w:val="none"/>
                <w:lang w:eastAsia="zh-CN" w:bidi="ar-SA"/>
              </w:rPr>
              <w:t>“</w:t>
            </w:r>
            <w:r>
              <w:rPr>
                <w:rFonts w:hint="eastAsia"/>
                <w:b/>
                <w:bCs/>
                <w:color w:val="auto"/>
                <w:sz w:val="24"/>
                <w:szCs w:val="32"/>
                <w:highlight w:val="none"/>
                <w:lang w:eastAsia="zh-CN"/>
              </w:rPr>
              <w:t>（</w:t>
            </w:r>
            <w:r>
              <w:rPr>
                <w:rFonts w:hint="eastAsia"/>
                <w:b/>
                <w:bCs/>
                <w:color w:val="auto"/>
                <w:sz w:val="24"/>
                <w:szCs w:val="32"/>
                <w:highlight w:val="none"/>
                <w:lang w:val="en-US" w:eastAsia="zh-CN"/>
              </w:rPr>
              <w:t>1</w:t>
            </w:r>
            <w:r>
              <w:rPr>
                <w:rFonts w:hint="eastAsia"/>
                <w:b/>
                <w:bCs/>
                <w:color w:val="auto"/>
                <w:sz w:val="24"/>
                <w:szCs w:val="32"/>
                <w:highlight w:val="none"/>
                <w:lang w:eastAsia="zh-CN"/>
              </w:rPr>
              <w:t>）</w:t>
            </w:r>
            <w:r>
              <w:rPr>
                <w:rFonts w:hint="eastAsia"/>
                <w:b/>
                <w:bCs/>
                <w:color w:val="auto"/>
                <w:sz w:val="24"/>
                <w:szCs w:val="32"/>
                <w:highlight w:val="none"/>
              </w:rPr>
              <w:t>第一标段资格要求</w:t>
            </w:r>
            <w:r>
              <w:rPr>
                <w:rFonts w:hint="eastAsia" w:ascii="宋体" w:cs="宋体"/>
                <w:b/>
                <w:bCs/>
                <w:color w:val="auto"/>
                <w:sz w:val="28"/>
                <w:szCs w:val="28"/>
                <w:highlight w:val="none"/>
                <w:lang w:eastAsia="zh-CN" w:bidi="ar-SA"/>
              </w:rPr>
              <w:t>”</w:t>
            </w:r>
            <w:r>
              <w:rPr>
                <w:rFonts w:hint="eastAsia" w:ascii="宋体" w:cs="宋体"/>
                <w:b/>
                <w:bCs/>
                <w:color w:val="auto"/>
                <w:sz w:val="28"/>
                <w:szCs w:val="28"/>
                <w:highlight w:val="none"/>
                <w:lang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0" w:lineRule="atLeast"/>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1.4.2</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0" w:lineRule="atLeast"/>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是否接受联合体</w:t>
            </w:r>
          </w:p>
          <w:p>
            <w:pPr>
              <w:autoSpaceDE w:val="0"/>
              <w:autoSpaceDN w:val="0"/>
              <w:adjustRightInd w:val="0"/>
              <w:spacing w:line="0" w:lineRule="atLeast"/>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投标</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0" w:lineRule="atLeast"/>
              <w:ind w:firstLine="121" w:firstLineChars="50"/>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0" w:lineRule="atLeast"/>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1.9.1</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0" w:lineRule="atLeast"/>
              <w:jc w:val="center"/>
              <w:rPr>
                <w:rFonts w:hint="eastAsia" w:ascii="宋体" w:cs="宋体"/>
                <w:color w:val="auto"/>
                <w:sz w:val="24"/>
                <w:szCs w:val="24"/>
                <w:highlight w:val="none"/>
                <w:lang w:bidi="ar-SA"/>
              </w:rPr>
            </w:pPr>
            <w:r>
              <w:rPr>
                <w:rFonts w:hint="eastAsia" w:ascii="宋体" w:cs="宋体"/>
                <w:color w:val="auto"/>
                <w:spacing w:val="1"/>
                <w:kern w:val="0"/>
                <w:sz w:val="24"/>
                <w:szCs w:val="24"/>
                <w:highlight w:val="none"/>
                <w:lang w:bidi="ar-SA"/>
              </w:rPr>
              <w:t>踏勘现场</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0" w:lineRule="atLeast"/>
              <w:ind w:firstLine="120" w:firstLineChars="50"/>
              <w:rPr>
                <w:rFonts w:hint="eastAsia" w:ascii="宋体" w:eastAsia="宋体" w:cs="宋体"/>
                <w:color w:val="auto"/>
                <w:spacing w:val="1"/>
                <w:kern w:val="0"/>
                <w:sz w:val="24"/>
                <w:szCs w:val="24"/>
                <w:highlight w:val="none"/>
                <w:lang w:eastAsia="zh-CN" w:bidi="ar-SA"/>
              </w:rPr>
            </w:pPr>
            <w:r>
              <w:rPr>
                <w:rFonts w:hint="eastAsia" w:ascii="宋体" w:cs="宋体"/>
                <w:color w:val="auto"/>
                <w:sz w:val="24"/>
                <w:szCs w:val="24"/>
                <w:highlight w:val="none"/>
                <w:lang w:bidi="ar-SA"/>
              </w:rPr>
              <w:t>不组织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0" w:lineRule="atLeast"/>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1.10.1</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0" w:lineRule="atLeast"/>
              <w:jc w:val="center"/>
              <w:rPr>
                <w:rFonts w:hint="eastAsia" w:ascii="宋体" w:cs="宋体"/>
                <w:color w:val="auto"/>
                <w:sz w:val="24"/>
                <w:szCs w:val="24"/>
                <w:highlight w:val="none"/>
                <w:lang w:bidi="ar-SA"/>
              </w:rPr>
            </w:pPr>
            <w:r>
              <w:rPr>
                <w:rFonts w:hint="eastAsia" w:ascii="宋体" w:cs="宋体"/>
                <w:color w:val="auto"/>
                <w:sz w:val="24"/>
                <w:szCs w:val="24"/>
                <w:highlight w:val="none"/>
                <w:lang w:bidi="ar-SA"/>
              </w:rPr>
              <w:t>投标预备会</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0" w:lineRule="atLeast"/>
              <w:ind w:firstLine="120" w:firstLineChars="50"/>
              <w:rPr>
                <w:rFonts w:hint="eastAsia" w:ascii="宋体" w:cs="宋体"/>
                <w:color w:val="auto"/>
                <w:sz w:val="24"/>
                <w:szCs w:val="24"/>
                <w:highlight w:val="none"/>
                <w:lang w:bidi="ar-SA"/>
              </w:rPr>
            </w:pPr>
            <w:r>
              <w:rPr>
                <w:rFonts w:hint="eastAsia" w:ascii="宋体" w:cs="宋体"/>
                <w:color w:val="auto"/>
                <w:sz w:val="24"/>
                <w:szCs w:val="24"/>
                <w:highlight w:val="none"/>
                <w:lang w:bidi="ar-SA"/>
              </w:rPr>
              <w:t>不组织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0" w:lineRule="atLeast"/>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1.10.2</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0" w:lineRule="atLeast"/>
              <w:jc w:val="center"/>
              <w:rPr>
                <w:rFonts w:hint="eastAsia" w:ascii="宋体" w:cs="宋体"/>
                <w:color w:val="auto"/>
                <w:sz w:val="24"/>
                <w:szCs w:val="24"/>
                <w:highlight w:val="none"/>
                <w:lang w:bidi="ar-SA"/>
              </w:rPr>
            </w:pPr>
            <w:r>
              <w:rPr>
                <w:rFonts w:hint="eastAsia" w:ascii="宋体" w:cs="宋体"/>
                <w:color w:val="auto"/>
                <w:sz w:val="24"/>
                <w:szCs w:val="24"/>
                <w:highlight w:val="none"/>
                <w:lang w:bidi="ar-SA"/>
              </w:rPr>
              <w:t>投标人提出问题的截止时间</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0" w:lineRule="atLeast"/>
              <w:ind w:firstLine="121" w:firstLineChars="50"/>
              <w:rPr>
                <w:rFonts w:hint="eastAsia" w:ascii="宋体" w:cs="宋体"/>
                <w:color w:val="auto"/>
                <w:sz w:val="24"/>
                <w:szCs w:val="24"/>
                <w:highlight w:val="none"/>
                <w:lang w:bidi="ar-SA"/>
              </w:rPr>
            </w:pPr>
            <w:r>
              <w:rPr>
                <w:rFonts w:hint="eastAsia" w:ascii="宋体" w:cs="宋体"/>
                <w:color w:val="auto"/>
                <w:spacing w:val="1"/>
                <w:kern w:val="0"/>
                <w:sz w:val="24"/>
                <w:szCs w:val="24"/>
                <w:highlight w:val="none"/>
                <w:lang w:bidi="ar-SA"/>
              </w:rPr>
              <w:t>提交电子投标文件截止时间</w:t>
            </w:r>
            <w:r>
              <w:rPr>
                <w:rFonts w:hint="eastAsia" w:ascii="宋体" w:cs="宋体"/>
                <w:color w:val="auto"/>
                <w:spacing w:val="1"/>
                <w:kern w:val="0"/>
                <w:sz w:val="24"/>
                <w:szCs w:val="24"/>
                <w:highlight w:val="none"/>
                <w:lang w:val="en-US" w:eastAsia="zh-CN" w:bidi="ar-SA"/>
              </w:rPr>
              <w:t>10</w:t>
            </w:r>
            <w:r>
              <w:rPr>
                <w:rFonts w:hint="eastAsia" w:ascii="宋体" w:cs="宋体"/>
                <w:color w:val="auto"/>
                <w:spacing w:val="1"/>
                <w:kern w:val="0"/>
                <w:sz w:val="24"/>
                <w:szCs w:val="24"/>
                <w:highlight w:val="none"/>
                <w:lang w:bidi="ar-SA"/>
              </w:rPr>
              <w:t>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0" w:lineRule="atLeast"/>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1.10.3</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0" w:lineRule="atLeast"/>
              <w:jc w:val="center"/>
              <w:rPr>
                <w:rFonts w:hint="eastAsia" w:ascii="宋体" w:cs="宋体"/>
                <w:color w:val="auto"/>
                <w:sz w:val="24"/>
                <w:szCs w:val="24"/>
                <w:highlight w:val="none"/>
                <w:lang w:bidi="ar-SA"/>
              </w:rPr>
            </w:pPr>
            <w:r>
              <w:rPr>
                <w:rFonts w:hint="eastAsia" w:ascii="宋体" w:cs="宋体"/>
                <w:color w:val="auto"/>
                <w:sz w:val="24"/>
                <w:szCs w:val="24"/>
                <w:highlight w:val="none"/>
                <w:lang w:bidi="ar-SA"/>
              </w:rPr>
              <w:t>招标人澄清的时间</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0" w:lineRule="atLeast"/>
              <w:ind w:firstLine="121" w:firstLineChars="50"/>
              <w:rPr>
                <w:rFonts w:hint="eastAsia" w:ascii="宋体" w:cs="宋体"/>
                <w:color w:val="auto"/>
                <w:sz w:val="24"/>
                <w:szCs w:val="24"/>
                <w:highlight w:val="none"/>
                <w:lang w:bidi="ar-SA"/>
              </w:rPr>
            </w:pPr>
            <w:r>
              <w:rPr>
                <w:rFonts w:hint="eastAsia" w:ascii="宋体" w:cs="宋体"/>
                <w:color w:val="auto"/>
                <w:spacing w:val="1"/>
                <w:kern w:val="0"/>
                <w:sz w:val="24"/>
                <w:szCs w:val="24"/>
                <w:highlight w:val="none"/>
                <w:lang w:bidi="ar-SA"/>
              </w:rPr>
              <w:t>提交电子投标文件截止时间15日前，</w:t>
            </w:r>
            <w:r>
              <w:rPr>
                <w:rFonts w:hint="eastAsia" w:ascii="宋体"/>
                <w:color w:val="auto"/>
                <w:sz w:val="24"/>
                <w:szCs w:val="24"/>
                <w:highlight w:val="none"/>
              </w:rPr>
              <w:t>在电子交易系统中向各投标人发出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8"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0" w:lineRule="atLeast"/>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1.12</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0" w:lineRule="atLeast"/>
              <w:jc w:val="center"/>
              <w:rPr>
                <w:rFonts w:hint="eastAsia" w:ascii="宋体" w:cs="宋体"/>
                <w:color w:val="auto"/>
                <w:sz w:val="24"/>
                <w:szCs w:val="24"/>
                <w:highlight w:val="none"/>
                <w:lang w:bidi="ar-SA"/>
              </w:rPr>
            </w:pPr>
            <w:r>
              <w:rPr>
                <w:rFonts w:hint="eastAsia" w:ascii="宋体" w:cs="宋体"/>
                <w:color w:val="auto"/>
                <w:sz w:val="24"/>
                <w:szCs w:val="24"/>
                <w:highlight w:val="none"/>
                <w:lang w:bidi="ar-SA"/>
              </w:rPr>
              <w:t>偏离</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0" w:lineRule="atLeast"/>
              <w:ind w:firstLine="120" w:firstLineChars="50"/>
              <w:rPr>
                <w:rFonts w:hint="eastAsia" w:ascii="宋体" w:cs="宋体"/>
                <w:color w:val="auto"/>
                <w:sz w:val="24"/>
                <w:szCs w:val="24"/>
                <w:highlight w:val="none"/>
                <w:lang w:bidi="ar-SA"/>
              </w:rPr>
            </w:pPr>
            <w:r>
              <w:rPr>
                <w:rFonts w:hint="eastAsia" w:ascii="宋体" w:cs="宋体"/>
                <w:color w:val="auto"/>
                <w:sz w:val="24"/>
                <w:szCs w:val="24"/>
                <w:highlight w:val="none"/>
                <w:lang w:bidi="ar-SA"/>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1"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0" w:lineRule="atLeast"/>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2.2.1</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0" w:lineRule="atLeast"/>
              <w:jc w:val="center"/>
              <w:rPr>
                <w:rFonts w:hint="eastAsia" w:ascii="宋体" w:cs="宋体"/>
                <w:color w:val="auto"/>
                <w:sz w:val="24"/>
                <w:szCs w:val="24"/>
                <w:highlight w:val="none"/>
                <w:lang w:bidi="ar-SA"/>
              </w:rPr>
            </w:pPr>
            <w:r>
              <w:rPr>
                <w:rFonts w:hint="eastAsia" w:ascii="宋体" w:cs="宋体"/>
                <w:color w:val="auto"/>
                <w:sz w:val="24"/>
                <w:szCs w:val="24"/>
                <w:highlight w:val="none"/>
                <w:lang w:bidi="ar-SA"/>
              </w:rPr>
              <w:t>投标人要求澄清招标文件的截止时间</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0" w:lineRule="atLeast"/>
              <w:ind w:firstLine="121" w:firstLineChars="50"/>
              <w:rPr>
                <w:rFonts w:hint="eastAsia" w:ascii="宋体" w:cs="宋体"/>
                <w:color w:val="auto"/>
                <w:sz w:val="24"/>
                <w:szCs w:val="24"/>
                <w:highlight w:val="none"/>
                <w:lang w:bidi="ar-SA"/>
              </w:rPr>
            </w:pPr>
            <w:r>
              <w:rPr>
                <w:rFonts w:hint="eastAsia" w:ascii="宋体" w:cs="宋体"/>
                <w:color w:val="auto"/>
                <w:spacing w:val="1"/>
                <w:kern w:val="0"/>
                <w:sz w:val="24"/>
                <w:szCs w:val="24"/>
                <w:highlight w:val="none"/>
                <w:lang w:bidi="ar-SA"/>
              </w:rPr>
              <w:t>提交电子投标文件截止时间</w:t>
            </w:r>
            <w:r>
              <w:rPr>
                <w:rFonts w:hint="eastAsia" w:ascii="宋体" w:cs="宋体"/>
                <w:color w:val="auto"/>
                <w:sz w:val="24"/>
                <w:szCs w:val="24"/>
                <w:highlight w:val="none"/>
                <w:u w:val="none"/>
                <w:shd w:val="clear"/>
                <w:lang w:val="en-US" w:eastAsia="zh-CN" w:bidi="ar-SA"/>
              </w:rPr>
              <w:t>10</w:t>
            </w:r>
            <w:r>
              <w:rPr>
                <w:rFonts w:hint="eastAsia" w:ascii="宋体" w:cs="宋体"/>
                <w:color w:val="auto"/>
                <w:spacing w:val="1"/>
                <w:kern w:val="0"/>
                <w:sz w:val="24"/>
                <w:szCs w:val="24"/>
                <w:highlight w:val="none"/>
                <w:lang w:bidi="ar-SA"/>
              </w:rPr>
              <w:t>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3" w:hRule="atLeast"/>
          <w:jc w:val="center"/>
        </w:trPr>
        <w:tc>
          <w:tcPr>
            <w:tcW w:w="872" w:type="dxa"/>
            <w:tcBorders>
              <w:top w:val="single" w:color="000000" w:sz="4" w:space="0"/>
              <w:left w:val="single" w:color="000000" w:sz="4" w:space="0"/>
              <w:right w:val="single" w:color="000000" w:sz="4" w:space="0"/>
              <w:tl2br w:val="nil"/>
              <w:tr2bl w:val="nil"/>
            </w:tcBorders>
            <w:vAlign w:val="center"/>
          </w:tcPr>
          <w:p>
            <w:pPr>
              <w:autoSpaceDE w:val="0"/>
              <w:autoSpaceDN w:val="0"/>
              <w:adjustRightInd w:val="0"/>
              <w:spacing w:line="0" w:lineRule="atLeast"/>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2.2.2</w:t>
            </w:r>
          </w:p>
        </w:tc>
        <w:tc>
          <w:tcPr>
            <w:tcW w:w="1762" w:type="dxa"/>
            <w:tcBorders>
              <w:top w:val="single" w:color="000000" w:sz="4" w:space="0"/>
              <w:left w:val="single" w:color="000000" w:sz="4" w:space="0"/>
              <w:right w:val="single" w:color="000000" w:sz="4" w:space="0"/>
              <w:tl2br w:val="nil"/>
              <w:tr2bl w:val="nil"/>
            </w:tcBorders>
            <w:vAlign w:val="center"/>
          </w:tcPr>
          <w:p>
            <w:pPr>
              <w:spacing w:line="0" w:lineRule="atLeast"/>
              <w:jc w:val="center"/>
              <w:rPr>
                <w:rFonts w:hint="eastAsia" w:ascii="宋体" w:cs="宋体"/>
                <w:color w:val="auto"/>
                <w:sz w:val="24"/>
                <w:szCs w:val="24"/>
                <w:highlight w:val="none"/>
                <w:lang w:bidi="ar-SA"/>
              </w:rPr>
            </w:pPr>
            <w:r>
              <w:rPr>
                <w:rFonts w:hint="eastAsia" w:ascii="宋体" w:cs="宋体"/>
                <w:color w:val="auto"/>
                <w:sz w:val="24"/>
                <w:szCs w:val="24"/>
                <w:highlight w:val="none"/>
                <w:lang w:bidi="ar-SA"/>
              </w:rPr>
              <w:t>投标截止时间</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ascii="宋体" w:eastAsia="宋体" w:cs="宋体"/>
                <w:color w:val="auto"/>
                <w:sz w:val="24"/>
                <w:szCs w:val="24"/>
                <w:highlight w:val="none"/>
                <w:lang w:bidi="ar-SA"/>
              </w:rPr>
            </w:pPr>
            <w:r>
              <w:rPr>
                <w:rFonts w:hint="eastAsia" w:ascii="宋体" w:cs="宋体"/>
                <w:b/>
                <w:color w:val="auto"/>
                <w:spacing w:val="1"/>
                <w:kern w:val="0"/>
                <w:sz w:val="32"/>
                <w:szCs w:val="32"/>
                <w:highlight w:val="none"/>
                <w:u w:val="single"/>
                <w:lang w:eastAsia="zh-CN" w:bidi="ar-SA"/>
              </w:rPr>
              <w:t>2022</w:t>
            </w:r>
            <w:r>
              <w:rPr>
                <w:rFonts w:hint="eastAsia" w:ascii="宋体" w:cs="宋体"/>
                <w:b/>
                <w:color w:val="auto"/>
                <w:spacing w:val="1"/>
                <w:kern w:val="0"/>
                <w:sz w:val="32"/>
                <w:szCs w:val="32"/>
                <w:highlight w:val="none"/>
                <w:lang w:bidi="ar-SA"/>
              </w:rPr>
              <w:t>年</w:t>
            </w:r>
            <w:r>
              <w:rPr>
                <w:rFonts w:hint="eastAsia" w:ascii="宋体" w:cs="宋体"/>
                <w:b/>
                <w:color w:val="auto"/>
                <w:spacing w:val="1"/>
                <w:kern w:val="0"/>
                <w:sz w:val="32"/>
                <w:szCs w:val="32"/>
                <w:highlight w:val="none"/>
                <w:u w:val="single"/>
                <w:lang w:val="en-US" w:eastAsia="zh-CN" w:bidi="ar-SA"/>
              </w:rPr>
              <w:t xml:space="preserve"> 11</w:t>
            </w:r>
            <w:r>
              <w:rPr>
                <w:rFonts w:hint="eastAsia" w:ascii="宋体" w:cs="宋体"/>
                <w:b/>
                <w:color w:val="auto"/>
                <w:spacing w:val="1"/>
                <w:kern w:val="0"/>
                <w:sz w:val="32"/>
                <w:szCs w:val="32"/>
                <w:highlight w:val="none"/>
                <w:lang w:bidi="ar-SA"/>
              </w:rPr>
              <w:t>月</w:t>
            </w:r>
            <w:r>
              <w:rPr>
                <w:rFonts w:hint="eastAsia" w:ascii="宋体" w:cs="宋体"/>
                <w:b/>
                <w:color w:val="auto"/>
                <w:spacing w:val="1"/>
                <w:kern w:val="0"/>
                <w:sz w:val="32"/>
                <w:szCs w:val="32"/>
                <w:highlight w:val="none"/>
                <w:u w:val="single"/>
                <w:lang w:bidi="ar-SA"/>
              </w:rPr>
              <w:t xml:space="preserve"> </w:t>
            </w:r>
            <w:r>
              <w:rPr>
                <w:rFonts w:hint="eastAsia" w:ascii="宋体" w:cs="宋体"/>
                <w:b/>
                <w:color w:val="auto"/>
                <w:spacing w:val="1"/>
                <w:kern w:val="0"/>
                <w:sz w:val="32"/>
                <w:szCs w:val="32"/>
                <w:highlight w:val="none"/>
                <w:u w:val="single"/>
                <w:lang w:val="en-US" w:eastAsia="zh-CN" w:bidi="ar-SA"/>
              </w:rPr>
              <w:t>22</w:t>
            </w:r>
            <w:r>
              <w:rPr>
                <w:rFonts w:hint="eastAsia" w:ascii="宋体" w:cs="宋体"/>
                <w:b/>
                <w:color w:val="auto"/>
                <w:spacing w:val="1"/>
                <w:kern w:val="0"/>
                <w:sz w:val="32"/>
                <w:szCs w:val="32"/>
                <w:highlight w:val="none"/>
                <w:lang w:bidi="ar-SA"/>
              </w:rPr>
              <w:t>日上午</w:t>
            </w:r>
            <w:r>
              <w:rPr>
                <w:rFonts w:hint="eastAsia" w:ascii="宋体" w:cs="宋体"/>
                <w:b/>
                <w:color w:val="auto"/>
                <w:spacing w:val="1"/>
                <w:kern w:val="0"/>
                <w:sz w:val="32"/>
                <w:szCs w:val="32"/>
                <w:highlight w:val="none"/>
                <w:u w:val="single"/>
                <w:lang w:bidi="ar-SA"/>
              </w:rPr>
              <w:t xml:space="preserve"> </w:t>
            </w:r>
            <w:r>
              <w:rPr>
                <w:rFonts w:hint="eastAsia" w:ascii="宋体" w:cs="宋体"/>
                <w:b/>
                <w:color w:val="auto"/>
                <w:spacing w:val="1"/>
                <w:kern w:val="0"/>
                <w:sz w:val="32"/>
                <w:szCs w:val="32"/>
                <w:highlight w:val="none"/>
                <w:u w:val="single"/>
                <w:lang w:val="en-US" w:eastAsia="zh-CN" w:bidi="ar-SA"/>
              </w:rPr>
              <w:t xml:space="preserve">09 </w:t>
            </w:r>
            <w:r>
              <w:rPr>
                <w:rFonts w:hint="eastAsia" w:ascii="宋体" w:cs="宋体"/>
                <w:b/>
                <w:color w:val="auto"/>
                <w:spacing w:val="1"/>
                <w:kern w:val="0"/>
                <w:sz w:val="32"/>
                <w:szCs w:val="32"/>
                <w:highlight w:val="none"/>
                <w:lang w:bidi="ar-SA"/>
              </w:rPr>
              <w:t>时</w:t>
            </w:r>
            <w:r>
              <w:rPr>
                <w:rFonts w:hint="eastAsia" w:ascii="宋体" w:cs="宋体"/>
                <w:b/>
                <w:color w:val="auto"/>
                <w:spacing w:val="1"/>
                <w:kern w:val="0"/>
                <w:sz w:val="32"/>
                <w:szCs w:val="32"/>
                <w:highlight w:val="none"/>
                <w:u w:val="single"/>
                <w:lang w:bidi="ar-SA"/>
              </w:rPr>
              <w:t xml:space="preserve"> </w:t>
            </w:r>
            <w:r>
              <w:rPr>
                <w:rFonts w:hint="eastAsia" w:ascii="宋体" w:cs="宋体"/>
                <w:b/>
                <w:color w:val="auto"/>
                <w:spacing w:val="1"/>
                <w:kern w:val="0"/>
                <w:sz w:val="32"/>
                <w:szCs w:val="32"/>
                <w:highlight w:val="none"/>
                <w:u w:val="single"/>
                <w:lang w:val="en-US" w:eastAsia="zh-CN" w:bidi="ar-SA"/>
              </w:rPr>
              <w:t>00</w:t>
            </w:r>
            <w:r>
              <w:rPr>
                <w:rFonts w:hint="eastAsia" w:ascii="宋体" w:cs="宋体"/>
                <w:b/>
                <w:color w:val="auto"/>
                <w:spacing w:val="1"/>
                <w:kern w:val="0"/>
                <w:sz w:val="32"/>
                <w:szCs w:val="32"/>
                <w:highlight w:val="none"/>
                <w:u w:val="single"/>
                <w:lang w:bidi="ar-SA"/>
              </w:rPr>
              <w:t xml:space="preserve"> </w:t>
            </w:r>
            <w:r>
              <w:rPr>
                <w:rFonts w:hint="eastAsia" w:ascii="宋体" w:cs="宋体"/>
                <w:b/>
                <w:color w:val="auto"/>
                <w:spacing w:val="1"/>
                <w:kern w:val="0"/>
                <w:sz w:val="32"/>
                <w:szCs w:val="32"/>
                <w:highlight w:val="none"/>
                <w:lang w:bidi="ar-SA"/>
              </w:rPr>
              <w:t>分（北京时间）</w:t>
            </w:r>
            <w:r>
              <w:rPr>
                <w:rFonts w:hint="eastAsia" w:ascii="宋体" w:eastAsia="宋体" w:cs="宋体"/>
                <w:color w:val="auto"/>
                <w:sz w:val="24"/>
                <w:szCs w:val="24"/>
                <w:highlight w:val="none"/>
                <w:lang w:bidi="ar-SA"/>
              </w:rPr>
              <w:t>（在疫情期间如有变化，请各潜在投标人及时关注中心网站）</w:t>
            </w:r>
          </w:p>
          <w:p>
            <w:pPr>
              <w:autoSpaceDE w:val="0"/>
              <w:autoSpaceDN w:val="0"/>
              <w:adjustRightInd w:val="0"/>
              <w:spacing w:line="0" w:lineRule="atLeast"/>
              <w:rPr>
                <w:rFonts w:hint="eastAsia" w:ascii="宋体" w:cs="宋体"/>
                <w:b/>
                <w:color w:val="auto"/>
                <w:sz w:val="24"/>
                <w:szCs w:val="24"/>
                <w:highlight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3" w:hRule="atLeast"/>
          <w:jc w:val="center"/>
        </w:trPr>
        <w:tc>
          <w:tcPr>
            <w:tcW w:w="872" w:type="dxa"/>
            <w:tcBorders>
              <w:top w:val="single" w:color="000000" w:sz="4" w:space="0"/>
              <w:left w:val="single" w:color="000000" w:sz="4" w:space="0"/>
              <w:right w:val="single" w:color="000000" w:sz="4" w:space="0"/>
              <w:tl2br w:val="nil"/>
              <w:tr2bl w:val="nil"/>
            </w:tcBorders>
            <w:vAlign w:val="center"/>
          </w:tcPr>
          <w:p>
            <w:pPr>
              <w:autoSpaceDE w:val="0"/>
              <w:autoSpaceDN w:val="0"/>
              <w:adjustRightInd w:val="0"/>
              <w:spacing w:line="0" w:lineRule="atLeast"/>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3.1.1</w:t>
            </w:r>
          </w:p>
        </w:tc>
        <w:tc>
          <w:tcPr>
            <w:tcW w:w="1762" w:type="dxa"/>
            <w:tcBorders>
              <w:top w:val="single" w:color="000000" w:sz="4" w:space="0"/>
              <w:left w:val="single" w:color="000000" w:sz="4" w:space="0"/>
              <w:right w:val="single" w:color="000000" w:sz="4" w:space="0"/>
              <w:tl2br w:val="nil"/>
              <w:tr2bl w:val="nil"/>
            </w:tcBorders>
            <w:vAlign w:val="center"/>
          </w:tcPr>
          <w:p>
            <w:pPr>
              <w:jc w:val="center"/>
              <w:rPr>
                <w:rFonts w:hint="eastAsia" w:ascii="Times New Roman" w:hAnsi="Times New Roman" w:eastAsia="宋体" w:cs="Times New Roman"/>
                <w:color w:val="auto"/>
                <w:kern w:val="2"/>
                <w:sz w:val="24"/>
                <w:szCs w:val="32"/>
                <w:highlight w:val="none"/>
                <w:lang w:val="en-US" w:eastAsia="zh-CN" w:bidi="ar-SA"/>
              </w:rPr>
            </w:pPr>
            <w:r>
              <w:rPr>
                <w:rFonts w:hint="eastAsia"/>
                <w:color w:val="auto"/>
                <w:sz w:val="24"/>
                <w:szCs w:val="32"/>
                <w:highlight w:val="none"/>
              </w:rPr>
              <w:t>构成招标文件的其他材料</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88" w:lineRule="auto"/>
              <w:rPr>
                <w:rFonts w:hint="eastAsia" w:ascii="Times New Roman" w:hAnsi="Times New Roman" w:eastAsia="宋体" w:cs="Times New Roman"/>
                <w:color w:val="auto"/>
                <w:kern w:val="2"/>
                <w:sz w:val="24"/>
                <w:szCs w:val="32"/>
                <w:highlight w:val="none"/>
                <w:lang w:val="en-US" w:eastAsia="zh-CN" w:bidi="ar-SA"/>
              </w:rPr>
            </w:pPr>
            <w:r>
              <w:rPr>
                <w:rFonts w:hint="eastAsia" w:ascii="宋体" w:hAnsi="宋体"/>
                <w:color w:val="auto"/>
                <w:sz w:val="24"/>
                <w:szCs w:val="24"/>
                <w:highlight w:val="none"/>
              </w:rPr>
              <w:t>答疑、设计变更、招标文件补充材料等。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0" w:lineRule="atLeast"/>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3.3.1</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0" w:lineRule="atLeast"/>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投标</w:t>
            </w:r>
            <w:r>
              <w:rPr>
                <w:rFonts w:hint="eastAsia" w:ascii="宋体" w:cs="宋体"/>
                <w:color w:val="auto"/>
                <w:sz w:val="24"/>
                <w:szCs w:val="24"/>
                <w:highlight w:val="none"/>
                <w:lang w:bidi="ar-SA"/>
              </w:rPr>
              <w:t>有效期</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0" w:lineRule="atLeast"/>
              <w:ind w:firstLine="121" w:firstLineChars="50"/>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投标截止日期起</w:t>
            </w:r>
            <w:r>
              <w:rPr>
                <w:rFonts w:hint="eastAsia" w:ascii="宋体" w:cs="宋体"/>
                <w:color w:val="auto"/>
                <w:spacing w:val="1"/>
                <w:kern w:val="0"/>
                <w:sz w:val="24"/>
                <w:szCs w:val="24"/>
                <w:highlight w:val="none"/>
                <w:u w:val="single"/>
                <w:lang w:bidi="ar-SA"/>
              </w:rPr>
              <w:t>90</w:t>
            </w:r>
            <w:r>
              <w:rPr>
                <w:rFonts w:hint="eastAsia" w:ascii="宋体" w:cs="宋体"/>
                <w:color w:val="auto"/>
                <w:spacing w:val="1"/>
                <w:kern w:val="0"/>
                <w:sz w:val="24"/>
                <w:szCs w:val="24"/>
                <w:highlight w:val="none"/>
                <w:lang w:bidi="ar-SA"/>
              </w:rPr>
              <w:t>日历天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3"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3.4.1</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line="260" w:lineRule="exact"/>
              <w:ind w:right="35" w:firstLine="363" w:firstLineChars="150"/>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投标保证金</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宋体" w:cs="宋体"/>
                <w:color w:val="auto"/>
                <w:sz w:val="21"/>
                <w:szCs w:val="21"/>
                <w:highlight w:val="none"/>
                <w:lang w:bidi="ar-SA"/>
              </w:rPr>
            </w:pPr>
            <w:r>
              <w:rPr>
                <w:rFonts w:hint="eastAsia" w:ascii="宋体" w:cs="宋体"/>
                <w:color w:val="auto"/>
                <w:sz w:val="24"/>
                <w:szCs w:val="24"/>
                <w:highlight w:val="none"/>
                <w:lang w:eastAsia="zh-CN" w:bidi="ar-SA"/>
              </w:rPr>
              <w:t>（</w:t>
            </w:r>
            <w:r>
              <w:rPr>
                <w:rFonts w:hint="eastAsia" w:ascii="宋体" w:cs="宋体"/>
                <w:color w:val="auto"/>
                <w:sz w:val="24"/>
                <w:szCs w:val="24"/>
                <w:highlight w:val="none"/>
                <w:lang w:val="en-US" w:eastAsia="zh-CN" w:bidi="ar-SA"/>
              </w:rPr>
              <w:t>1</w:t>
            </w:r>
            <w:r>
              <w:rPr>
                <w:rFonts w:hint="eastAsia" w:ascii="宋体" w:cs="宋体"/>
                <w:color w:val="auto"/>
                <w:sz w:val="24"/>
                <w:szCs w:val="24"/>
                <w:highlight w:val="none"/>
                <w:lang w:eastAsia="zh-CN" w:bidi="ar-SA"/>
              </w:rPr>
              <w:t>）</w:t>
            </w:r>
            <w:r>
              <w:rPr>
                <w:rFonts w:hint="eastAsia" w:ascii="宋体" w:cs="宋体"/>
                <w:color w:val="auto"/>
                <w:sz w:val="24"/>
                <w:szCs w:val="24"/>
                <w:highlight w:val="none"/>
                <w:lang w:bidi="ar-SA"/>
              </w:rPr>
              <w:t>、该项目</w:t>
            </w:r>
            <w:r>
              <w:rPr>
                <w:rFonts w:hint="eastAsia" w:ascii="宋体" w:cs="宋体"/>
                <w:color w:val="auto"/>
                <w:sz w:val="24"/>
                <w:szCs w:val="24"/>
                <w:highlight w:val="none"/>
                <w:lang w:eastAsia="zh-CN" w:bidi="ar-SA"/>
              </w:rPr>
              <w:t>本</w:t>
            </w:r>
            <w:r>
              <w:rPr>
                <w:rFonts w:hint="eastAsia" w:ascii="宋体" w:cs="宋体"/>
                <w:color w:val="auto"/>
                <w:sz w:val="24"/>
                <w:szCs w:val="24"/>
                <w:highlight w:val="none"/>
                <w:lang w:bidi="ar-SA"/>
              </w:rPr>
              <w:t>标段投标保证金的金额为</w:t>
            </w:r>
            <w:r>
              <w:rPr>
                <w:rFonts w:hint="eastAsia" w:ascii="宋体" w:cs="宋体"/>
                <w:color w:val="auto"/>
                <w:sz w:val="21"/>
                <w:szCs w:val="21"/>
                <w:highlight w:val="none"/>
                <w:lang w:bidi="ar-SA"/>
              </w:rPr>
              <w:t>：</w:t>
            </w:r>
          </w:p>
          <w:p>
            <w:pPr>
              <w:autoSpaceDE w:val="0"/>
              <w:autoSpaceDN w:val="0"/>
              <w:adjustRightInd w:val="0"/>
              <w:rPr>
                <w:rFonts w:hint="eastAsia" w:ascii="宋体" w:cs="宋体"/>
                <w:b/>
                <w:bCs/>
                <w:color w:val="auto"/>
                <w:sz w:val="22"/>
                <w:szCs w:val="22"/>
                <w:highlight w:val="none"/>
                <w:lang w:bidi="ar-SA"/>
              </w:rPr>
            </w:pPr>
            <w:r>
              <w:rPr>
                <w:rFonts w:hint="eastAsia" w:ascii="宋体" w:hAnsi="Times New Roman" w:cs="Times New Roman"/>
                <w:b w:val="0"/>
                <w:bCs w:val="0"/>
                <w:color w:val="auto"/>
                <w:sz w:val="32"/>
                <w:szCs w:val="32"/>
                <w:highlight w:val="none"/>
                <w:u w:val="none"/>
                <w:shd w:val="clear" w:color="auto" w:fill="auto"/>
                <w:lang w:val="en-US" w:eastAsia="zh-CN"/>
              </w:rPr>
              <w:t>大写</w:t>
            </w:r>
            <w:r>
              <w:rPr>
                <w:rFonts w:hint="eastAsia" w:ascii="宋体" w:cs="Times New Roman"/>
                <w:b/>
                <w:bCs/>
                <w:color w:val="auto"/>
                <w:sz w:val="32"/>
                <w:szCs w:val="32"/>
                <w:highlight w:val="none"/>
                <w:u w:val="single"/>
                <w:shd w:val="clear" w:color="auto" w:fill="auto"/>
                <w:lang w:val="en-US" w:eastAsia="zh-CN"/>
              </w:rPr>
              <w:t>：捌拾万元</w:t>
            </w:r>
            <w:r>
              <w:rPr>
                <w:rFonts w:hint="eastAsia" w:ascii="宋体" w:cs="Times New Roman"/>
                <w:b/>
                <w:bCs/>
                <w:color w:val="auto"/>
                <w:sz w:val="32"/>
                <w:szCs w:val="32"/>
                <w:highlight w:val="none"/>
                <w:u w:val="none"/>
                <w:shd w:val="clear" w:color="auto" w:fill="auto"/>
                <w:lang w:val="en-US" w:eastAsia="zh-CN"/>
              </w:rPr>
              <w:t>（人民币）小写</w:t>
            </w:r>
            <w:r>
              <w:rPr>
                <w:rFonts w:hint="eastAsia" w:ascii="宋体" w:cs="Times New Roman"/>
                <w:b/>
                <w:bCs/>
                <w:color w:val="auto"/>
                <w:sz w:val="32"/>
                <w:szCs w:val="32"/>
                <w:highlight w:val="none"/>
                <w:u w:val="single"/>
                <w:shd w:val="clear" w:color="auto" w:fill="auto"/>
                <w:lang w:val="en-US" w:eastAsia="zh-CN"/>
              </w:rPr>
              <w:t>：800000 .00</w:t>
            </w:r>
            <w:r>
              <w:rPr>
                <w:rFonts w:hint="eastAsia" w:ascii="宋体"/>
                <w:b/>
                <w:bCs/>
                <w:color w:val="000000" w:themeColor="text1"/>
                <w:sz w:val="36"/>
                <w:szCs w:val="36"/>
                <w:highlight w:val="none"/>
                <w:u w:val="single"/>
                <w:shd w:val="clear" w:color="auto" w:fill="auto"/>
                <w14:textFill>
                  <w14:solidFill>
                    <w14:schemeClr w14:val="tx1"/>
                  </w14:solidFill>
                </w14:textFill>
              </w:rPr>
              <w:t>元</w:t>
            </w:r>
          </w:p>
          <w:p>
            <w:pPr>
              <w:autoSpaceDE w:val="0"/>
              <w:autoSpaceDN w:val="0"/>
              <w:adjustRightInd w:val="0"/>
              <w:rPr>
                <w:rFonts w:hint="eastAsia" w:ascii="宋体" w:cs="宋体"/>
                <w:b w:val="0"/>
                <w:bCs w:val="0"/>
                <w:color w:val="auto"/>
                <w:sz w:val="24"/>
                <w:szCs w:val="24"/>
                <w:highlight w:val="none"/>
                <w:shd w:val="clear" w:color="auto" w:fill="FFFFFF"/>
                <w:lang w:bidi="ar-SA"/>
              </w:rPr>
            </w:pPr>
            <w:r>
              <w:rPr>
                <w:rFonts w:hint="eastAsia" w:ascii="宋体" w:cs="宋体"/>
                <w:b w:val="0"/>
                <w:bCs w:val="0"/>
                <w:color w:val="auto"/>
                <w:sz w:val="24"/>
                <w:szCs w:val="24"/>
                <w:highlight w:val="none"/>
                <w:shd w:val="clear" w:color="auto" w:fill="FFFFFF"/>
                <w:lang w:bidi="ar-SA"/>
              </w:rPr>
              <w:t>（2）、保证金递交的截止时间：2022年</w:t>
            </w:r>
            <w:r>
              <w:rPr>
                <w:rFonts w:hint="eastAsia" w:ascii="宋体" w:cs="宋体"/>
                <w:b w:val="0"/>
                <w:bCs w:val="0"/>
                <w:color w:val="auto"/>
                <w:sz w:val="24"/>
                <w:szCs w:val="24"/>
                <w:highlight w:val="none"/>
                <w:shd w:val="clear" w:color="auto" w:fill="FFFFFF"/>
                <w:lang w:val="en-US" w:eastAsia="zh-CN" w:bidi="ar-SA"/>
              </w:rPr>
              <w:t>11</w:t>
            </w:r>
            <w:r>
              <w:rPr>
                <w:rFonts w:hint="eastAsia" w:ascii="宋体" w:cs="宋体"/>
                <w:b w:val="0"/>
                <w:bCs w:val="0"/>
                <w:color w:val="auto"/>
                <w:sz w:val="24"/>
                <w:szCs w:val="24"/>
                <w:highlight w:val="none"/>
                <w:shd w:val="clear" w:color="auto" w:fill="FFFFFF"/>
                <w:lang w:bidi="ar-SA"/>
              </w:rPr>
              <w:t>月</w:t>
            </w:r>
            <w:r>
              <w:rPr>
                <w:rFonts w:hint="eastAsia" w:ascii="宋体" w:cs="宋体"/>
                <w:b w:val="0"/>
                <w:bCs w:val="0"/>
                <w:color w:val="auto"/>
                <w:sz w:val="24"/>
                <w:szCs w:val="24"/>
                <w:highlight w:val="none"/>
                <w:shd w:val="clear" w:color="auto" w:fill="FFFFFF"/>
                <w:lang w:val="en-US" w:eastAsia="zh-CN" w:bidi="ar-SA"/>
              </w:rPr>
              <w:t>21</w:t>
            </w:r>
            <w:r>
              <w:rPr>
                <w:rFonts w:hint="eastAsia" w:ascii="宋体" w:cs="宋体"/>
                <w:b w:val="0"/>
                <w:bCs w:val="0"/>
                <w:color w:val="auto"/>
                <w:sz w:val="24"/>
                <w:szCs w:val="24"/>
                <w:highlight w:val="none"/>
                <w:shd w:val="clear" w:color="auto" w:fill="FFFFFF"/>
                <w:lang w:bidi="ar-SA"/>
              </w:rPr>
              <w:t>日23时59分前；</w:t>
            </w:r>
          </w:p>
          <w:p>
            <w:pPr>
              <w:autoSpaceDE w:val="0"/>
              <w:autoSpaceDN w:val="0"/>
              <w:adjustRightInd w:val="0"/>
              <w:rPr>
                <w:rFonts w:hint="eastAsia" w:ascii="宋体" w:cs="宋体"/>
                <w:b w:val="0"/>
                <w:bCs w:val="0"/>
                <w:color w:val="auto"/>
                <w:sz w:val="24"/>
                <w:szCs w:val="24"/>
                <w:highlight w:val="none"/>
                <w:shd w:val="clear" w:color="auto" w:fill="FFFFFF"/>
                <w:lang w:bidi="ar-SA"/>
              </w:rPr>
            </w:pPr>
            <w:r>
              <w:rPr>
                <w:rFonts w:hint="eastAsia" w:ascii="宋体" w:cs="宋体"/>
                <w:b w:val="0"/>
                <w:bCs w:val="0"/>
                <w:color w:val="auto"/>
                <w:sz w:val="24"/>
                <w:szCs w:val="24"/>
                <w:highlight w:val="none"/>
                <w:shd w:val="clear" w:color="auto" w:fill="FFFFFF"/>
                <w:lang w:bidi="ar-SA"/>
              </w:rPr>
              <w:t xml:space="preserve">（3）、递交形式：投标人可以选择以下两种形式中的任一种递交投标保证金。 </w:t>
            </w:r>
          </w:p>
          <w:p>
            <w:pPr>
              <w:autoSpaceDE w:val="0"/>
              <w:autoSpaceDN w:val="0"/>
              <w:adjustRightInd w:val="0"/>
              <w:rPr>
                <w:rFonts w:hint="eastAsia" w:ascii="宋体" w:cs="宋体"/>
                <w:b w:val="0"/>
                <w:bCs w:val="0"/>
                <w:color w:val="auto"/>
                <w:sz w:val="24"/>
                <w:szCs w:val="24"/>
                <w:highlight w:val="none"/>
                <w:shd w:val="clear" w:color="auto" w:fill="FFFFFF"/>
                <w:lang w:bidi="ar-SA"/>
              </w:rPr>
            </w:pPr>
            <w:r>
              <w:rPr>
                <w:rFonts w:hint="eastAsia" w:ascii="宋体" w:cs="宋体"/>
                <w:b w:val="0"/>
                <w:bCs w:val="0"/>
                <w:color w:val="auto"/>
                <w:sz w:val="24"/>
                <w:szCs w:val="24"/>
                <w:highlight w:val="none"/>
                <w:shd w:val="clear" w:color="auto" w:fill="FFFFFF"/>
                <w:lang w:bidi="ar-SA"/>
              </w:rPr>
              <w:t xml:space="preserve">①投标人登录全国公共资源交易平台（河南省·平顶山）电子化交易系统 （http://221.176.192.166:8080/ggzy），对应已参与投标项目依次点击“参与投标”→“费用缴纳指南”→“费用缴纳 说明”→“保证金缴纳说明单”，获取平顶山银行虚拟子账户缴纳说明单，根据每个标段缴纳说明单生成的银行账户在缴纳截止时间前缴纳。 </w:t>
            </w:r>
          </w:p>
          <w:p>
            <w:pPr>
              <w:autoSpaceDE w:val="0"/>
              <w:autoSpaceDN w:val="0"/>
              <w:adjustRightInd w:val="0"/>
              <w:rPr>
                <w:rFonts w:hint="eastAsia" w:ascii="宋体" w:cs="宋体"/>
                <w:b w:val="0"/>
                <w:bCs w:val="0"/>
                <w:color w:val="auto"/>
                <w:sz w:val="24"/>
                <w:szCs w:val="24"/>
                <w:highlight w:val="none"/>
                <w:shd w:val="clear" w:color="auto" w:fill="FFFFFF"/>
                <w:lang w:bidi="ar-SA"/>
              </w:rPr>
            </w:pPr>
            <w:r>
              <w:rPr>
                <w:rFonts w:hint="eastAsia" w:ascii="宋体" w:cs="宋体"/>
                <w:b w:val="0"/>
                <w:bCs w:val="0"/>
                <w:color w:val="auto"/>
                <w:sz w:val="24"/>
                <w:szCs w:val="24"/>
                <w:highlight w:val="none"/>
                <w:shd w:val="clear" w:color="auto" w:fill="FFFFFF"/>
                <w:lang w:bidi="ar-SA"/>
              </w:rPr>
              <w:t xml:space="preserve">成功缴纳后重新登录前述系统查询确定费用到账，依次点击 “参与投标”→“保证金绑定”→“绑定”进行投标保证金绑定。 投标人要严格按照“保证金缴纳说明单”内容缴纳、绑定投标 保证金，未绑定标段的投标保证金，视为未按时交纳。 </w:t>
            </w:r>
          </w:p>
          <w:p>
            <w:pPr>
              <w:autoSpaceDE w:val="0"/>
              <w:autoSpaceDN w:val="0"/>
              <w:adjustRightInd w:val="0"/>
              <w:rPr>
                <w:rFonts w:hint="eastAsia" w:ascii="宋体" w:cs="宋体"/>
                <w:b w:val="0"/>
                <w:bCs w:val="0"/>
                <w:color w:val="auto"/>
                <w:sz w:val="24"/>
                <w:szCs w:val="24"/>
                <w:highlight w:val="none"/>
                <w:shd w:val="clear" w:color="auto" w:fill="FFFFFF"/>
                <w:lang w:bidi="ar-SA"/>
              </w:rPr>
            </w:pPr>
            <w:r>
              <w:rPr>
                <w:rFonts w:hint="eastAsia" w:ascii="宋体" w:cs="宋体"/>
                <w:b w:val="0"/>
                <w:bCs w:val="0"/>
                <w:color w:val="auto"/>
                <w:sz w:val="24"/>
                <w:szCs w:val="24"/>
                <w:highlight w:val="none"/>
                <w:shd w:val="clear" w:color="auto" w:fill="FFFFFF"/>
                <w:lang w:bidi="ar-SA"/>
              </w:rPr>
              <w:t xml:space="preserve">每个投标人每个项目每个标段只有唯一缴纳账号，切勿重复或错误缴纳。 </w:t>
            </w:r>
          </w:p>
          <w:p>
            <w:pPr>
              <w:autoSpaceDE w:val="0"/>
              <w:autoSpaceDN w:val="0"/>
              <w:adjustRightInd w:val="0"/>
              <w:rPr>
                <w:rFonts w:hint="eastAsia" w:ascii="宋体" w:cs="宋体"/>
                <w:b w:val="0"/>
                <w:bCs w:val="0"/>
                <w:color w:val="auto"/>
                <w:sz w:val="24"/>
                <w:szCs w:val="24"/>
                <w:highlight w:val="none"/>
                <w:shd w:val="clear" w:color="auto" w:fill="FFFFFF"/>
                <w:lang w:bidi="ar-SA"/>
              </w:rPr>
            </w:pPr>
            <w:r>
              <w:rPr>
                <w:rFonts w:hint="eastAsia" w:ascii="宋体" w:cs="宋体"/>
                <w:b w:val="0"/>
                <w:bCs w:val="0"/>
                <w:color w:val="auto"/>
                <w:sz w:val="24"/>
                <w:szCs w:val="24"/>
                <w:highlight w:val="none"/>
                <w:shd w:val="clear" w:color="auto" w:fill="FFFFFF"/>
                <w:lang w:bidi="ar-SA"/>
              </w:rPr>
              <w:t xml:space="preserve">未按上述规定操作引起的无效投标，由投标人自行负责。 </w:t>
            </w:r>
          </w:p>
          <w:p>
            <w:pPr>
              <w:autoSpaceDE w:val="0"/>
              <w:autoSpaceDN w:val="0"/>
              <w:adjustRightInd w:val="0"/>
              <w:rPr>
                <w:rFonts w:hint="eastAsia" w:ascii="宋体" w:cs="宋体"/>
                <w:b w:val="0"/>
                <w:bCs w:val="0"/>
                <w:color w:val="auto"/>
                <w:sz w:val="24"/>
                <w:szCs w:val="24"/>
                <w:highlight w:val="none"/>
                <w:shd w:val="clear" w:color="auto" w:fill="FFFFFF"/>
                <w:lang w:bidi="ar-SA"/>
              </w:rPr>
            </w:pPr>
            <w:r>
              <w:rPr>
                <w:rFonts w:hint="eastAsia" w:ascii="宋体" w:cs="宋体"/>
                <w:b w:val="0"/>
                <w:bCs w:val="0"/>
                <w:color w:val="auto"/>
                <w:sz w:val="24"/>
                <w:szCs w:val="24"/>
                <w:highlight w:val="none"/>
                <w:shd w:val="clear" w:color="auto" w:fill="FFFFFF"/>
                <w:lang w:bidi="ar-SA"/>
              </w:rPr>
              <w:t xml:space="preserve">②投标人提交电子投标保函的，投标人可以在全国公共资源交易平 台（河南省·平顶山）电子化交易系统（http://221.176.192.166:8080/ ggzy）统“电子保函申请”中自主选择承保机构办理电子保函业务。 </w:t>
            </w:r>
          </w:p>
          <w:p>
            <w:pPr>
              <w:autoSpaceDE w:val="0"/>
              <w:autoSpaceDN w:val="0"/>
              <w:adjustRightInd w:val="0"/>
              <w:rPr>
                <w:rFonts w:hint="eastAsia" w:ascii="宋体" w:cs="宋体"/>
                <w:b w:val="0"/>
                <w:bCs w:val="0"/>
                <w:color w:val="auto"/>
                <w:sz w:val="24"/>
                <w:szCs w:val="24"/>
                <w:highlight w:val="none"/>
                <w:shd w:val="clear" w:color="auto" w:fill="FFFFFF"/>
                <w:lang w:bidi="ar-SA"/>
              </w:rPr>
            </w:pPr>
            <w:r>
              <w:rPr>
                <w:rFonts w:hint="eastAsia" w:ascii="宋体" w:cs="宋体"/>
                <w:b w:val="0"/>
                <w:bCs w:val="0"/>
                <w:color w:val="auto"/>
                <w:sz w:val="24"/>
                <w:szCs w:val="24"/>
                <w:highlight w:val="none"/>
                <w:shd w:val="clear" w:color="auto" w:fill="FFFFFF"/>
                <w:lang w:bidi="ar-SA"/>
              </w:rPr>
              <w:t xml:space="preserve">（4）、投标人应仔细阅读操作手册，在本公告中要求的截止时间 前完成招标文件下载、投标保证金的缴纳和绑定、投标文件上传等 工作，并充分考虑人为操作和银行异地跨行转账到账的时间等因素。因投标人操作不当或银行到账时间等问题造成的无法下载招标 文件、无法投标等一切后果，由投标人自行承担。 </w:t>
            </w:r>
          </w:p>
          <w:p>
            <w:pPr>
              <w:autoSpaceDE w:val="0"/>
              <w:autoSpaceDN w:val="0"/>
              <w:adjustRightInd w:val="0"/>
              <w:rPr>
                <w:rFonts w:hint="eastAsia" w:ascii="宋体" w:cs="宋体"/>
                <w:b w:val="0"/>
                <w:bCs w:val="0"/>
                <w:color w:val="auto"/>
                <w:sz w:val="24"/>
                <w:szCs w:val="24"/>
                <w:highlight w:val="none"/>
                <w:shd w:val="clear" w:color="auto" w:fill="FFFFFF"/>
                <w:lang w:bidi="ar-SA"/>
              </w:rPr>
            </w:pPr>
            <w:r>
              <w:rPr>
                <w:rFonts w:hint="eastAsia" w:ascii="宋体" w:cs="宋体"/>
                <w:b w:val="0"/>
                <w:bCs w:val="0"/>
                <w:color w:val="auto"/>
                <w:sz w:val="24"/>
                <w:szCs w:val="24"/>
                <w:highlight w:val="none"/>
                <w:shd w:val="clear" w:color="auto" w:fill="FFFFFF"/>
                <w:lang w:bidi="ar-SA"/>
              </w:rPr>
              <w:t xml:space="preserve">（5）、投标人少缴保证金属无效缴纳； </w:t>
            </w:r>
          </w:p>
          <w:p>
            <w:pPr>
              <w:autoSpaceDE w:val="0"/>
              <w:autoSpaceDN w:val="0"/>
              <w:adjustRightInd w:val="0"/>
              <w:rPr>
                <w:rFonts w:hint="eastAsia" w:ascii="宋体" w:cs="宋体"/>
                <w:b w:val="0"/>
                <w:bCs w:val="0"/>
                <w:color w:val="auto"/>
                <w:sz w:val="24"/>
                <w:szCs w:val="24"/>
                <w:highlight w:val="none"/>
                <w:shd w:val="clear" w:color="auto" w:fill="FFFFFF"/>
                <w:lang w:bidi="ar-SA"/>
              </w:rPr>
            </w:pPr>
            <w:r>
              <w:rPr>
                <w:rFonts w:hint="eastAsia" w:ascii="宋体" w:cs="宋体"/>
                <w:b w:val="0"/>
                <w:bCs w:val="0"/>
                <w:color w:val="auto"/>
                <w:sz w:val="24"/>
                <w:szCs w:val="24"/>
                <w:highlight w:val="none"/>
                <w:shd w:val="clear" w:color="auto" w:fill="FFFFFF"/>
                <w:lang w:bidi="ar-SA"/>
              </w:rPr>
              <w:t xml:space="preserve">（6）、规定投标保证金到账截止时间为开标前一日 24 点，节假日除外（超时到账视为未缴纳保证金，取消报名资格）； </w:t>
            </w:r>
          </w:p>
          <w:p>
            <w:pPr>
              <w:autoSpaceDE w:val="0"/>
              <w:autoSpaceDN w:val="0"/>
              <w:adjustRightInd w:val="0"/>
              <w:rPr>
                <w:rFonts w:hint="eastAsia" w:ascii="宋体" w:cs="宋体"/>
                <w:color w:val="auto"/>
                <w:szCs w:val="21"/>
                <w:highlight w:val="none"/>
                <w:lang w:bidi="ar-SA"/>
              </w:rPr>
            </w:pPr>
            <w:r>
              <w:rPr>
                <w:rFonts w:hint="eastAsia" w:ascii="宋体" w:cs="宋体"/>
                <w:b w:val="0"/>
                <w:bCs w:val="0"/>
                <w:color w:val="auto"/>
                <w:sz w:val="24"/>
                <w:szCs w:val="24"/>
                <w:highlight w:val="none"/>
                <w:shd w:val="clear" w:color="auto" w:fill="FFFFFF"/>
                <w:lang w:bidi="ar-SA"/>
              </w:rPr>
              <w:t xml:space="preserve">（7）、废标项目重新招标时，必须按修改后的招标文件重新缴纳保证金，原缴纳保证金及时退还。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both"/>
              <w:rPr>
                <w:rFonts w:hint="default" w:ascii="宋体" w:eastAsia="宋体" w:cs="宋体"/>
                <w:color w:val="auto"/>
                <w:spacing w:val="1"/>
                <w:kern w:val="0"/>
                <w:sz w:val="24"/>
                <w:szCs w:val="24"/>
                <w:highlight w:val="none"/>
                <w:lang w:val="en-US" w:eastAsia="zh-CN" w:bidi="ar-SA"/>
              </w:rPr>
            </w:pPr>
            <w:r>
              <w:rPr>
                <w:rFonts w:hint="eastAsia" w:ascii="宋体" w:cs="宋体"/>
                <w:color w:val="auto"/>
                <w:spacing w:val="1"/>
                <w:kern w:val="0"/>
                <w:sz w:val="24"/>
                <w:szCs w:val="24"/>
                <w:highlight w:val="none"/>
                <w:lang w:val="en-US" w:eastAsia="zh-CN" w:bidi="ar-SA"/>
              </w:rPr>
              <w:t>3.5.2</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Times New Roman" w:hAnsi="Times New Roman" w:eastAsia="宋体" w:cs="Times New Roman"/>
                <w:color w:val="auto"/>
                <w:kern w:val="2"/>
                <w:sz w:val="24"/>
                <w:szCs w:val="32"/>
                <w:highlight w:val="none"/>
                <w:lang w:val="en-US" w:eastAsia="zh-CN" w:bidi="ar-SA"/>
              </w:rPr>
            </w:pPr>
            <w:r>
              <w:rPr>
                <w:rFonts w:hint="eastAsia"/>
                <w:color w:val="auto"/>
                <w:sz w:val="24"/>
                <w:szCs w:val="32"/>
                <w:highlight w:val="none"/>
              </w:rPr>
              <w:t>近年财务状况的年份要求</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400" w:lineRule="exact"/>
              <w:rPr>
                <w:rFonts w:hint="eastAsia" w:ascii="Times New Roman" w:hAnsi="Times New Roman" w:eastAsia="宋体" w:cs="Times New Roman"/>
                <w:color w:val="auto"/>
                <w:kern w:val="2"/>
                <w:sz w:val="36"/>
                <w:szCs w:val="36"/>
                <w:highlight w:val="none"/>
                <w:lang w:val="en-US" w:eastAsia="zh-CN" w:bidi="ar-SA"/>
              </w:rPr>
            </w:pPr>
            <w:r>
              <w:rPr>
                <w:rFonts w:hint="eastAsia" w:ascii="宋体" w:hAnsi="宋体" w:eastAsia="宋体" w:cs="宋体"/>
                <w:color w:val="auto"/>
                <w:sz w:val="24"/>
                <w:szCs w:val="24"/>
                <w:highlight w:val="none"/>
              </w:rPr>
              <w:t>提供</w:t>
            </w:r>
            <w:r>
              <w:rPr>
                <w:rFonts w:hint="eastAsia" w:ascii="宋体" w:hAnsi="宋体" w:cs="宋体"/>
                <w:color w:val="auto"/>
                <w:sz w:val="24"/>
                <w:szCs w:val="24"/>
                <w:highlight w:val="none"/>
                <w:lang w:eastAsia="zh-CN"/>
              </w:rPr>
              <w:t>2019、2020、2021</w:t>
            </w:r>
            <w:r>
              <w:rPr>
                <w:rFonts w:hint="eastAsia" w:ascii="宋体" w:hAnsi="宋体" w:eastAsia="宋体" w:cs="宋体"/>
                <w:color w:val="auto"/>
                <w:sz w:val="24"/>
                <w:szCs w:val="24"/>
                <w:highlight w:val="none"/>
              </w:rPr>
              <w:t>年度经审计的财务</w:t>
            </w:r>
            <w:r>
              <w:rPr>
                <w:rFonts w:hint="eastAsia" w:ascii="宋体" w:hAnsi="宋体" w:eastAsia="宋体" w:cs="宋体"/>
                <w:color w:val="auto"/>
                <w:sz w:val="24"/>
                <w:szCs w:val="24"/>
                <w:highlight w:val="none"/>
                <w:lang w:val="en-US" w:eastAsia="zh-CN"/>
              </w:rPr>
              <w:t>审计报告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若投标人为新成立企业，提供自注册年度后的经审计的财务报</w:t>
            </w:r>
            <w:r>
              <w:rPr>
                <w:rFonts w:hint="eastAsia" w:ascii="宋体" w:hAnsi="宋体" w:eastAsia="宋体" w:cs="宋体"/>
                <w:color w:val="auto"/>
                <w:sz w:val="24"/>
                <w:szCs w:val="24"/>
                <w:highlight w:val="none"/>
                <w:lang w:val="en-US" w:eastAsia="zh-CN"/>
              </w:rPr>
              <w:t>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若投标人</w:t>
            </w:r>
            <w:r>
              <w:rPr>
                <w:rFonts w:hint="eastAsia" w:ascii="宋体" w:hAnsi="宋体" w:eastAsia="宋体" w:cs="宋体"/>
                <w:color w:val="auto"/>
                <w:sz w:val="24"/>
                <w:szCs w:val="24"/>
                <w:highlight w:val="none"/>
                <w:lang w:val="en-US" w:eastAsia="zh-CN"/>
              </w:rPr>
              <w:t>成立时间不足以提供财务报告，提供其基本户银行出具的资信证明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s="宋体"/>
                <w:color w:val="auto"/>
                <w:sz w:val="24"/>
                <w:szCs w:val="24"/>
                <w:highlight w:val="none"/>
                <w:lang w:val="en-US" w:eastAsia="zh-CN" w:bidi="ar-SA"/>
              </w:rPr>
            </w:pPr>
            <w:r>
              <w:rPr>
                <w:rFonts w:hint="eastAsia" w:ascii="宋体" w:cs="宋体"/>
                <w:color w:val="auto"/>
                <w:sz w:val="24"/>
                <w:szCs w:val="24"/>
                <w:highlight w:val="none"/>
                <w:lang w:bidi="ar-SA"/>
              </w:rPr>
              <w:t>3.5.</w:t>
            </w:r>
            <w:r>
              <w:rPr>
                <w:rFonts w:hint="eastAsia" w:ascii="宋体" w:cs="宋体"/>
                <w:color w:val="auto"/>
                <w:sz w:val="24"/>
                <w:szCs w:val="24"/>
                <w:highlight w:val="none"/>
                <w:lang w:val="en-US" w:eastAsia="zh-CN" w:bidi="ar-SA"/>
              </w:rPr>
              <w:t>3</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0" w:lineRule="atLeast"/>
              <w:jc w:val="both"/>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近年完成的类似项目的年份要求</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86" w:rightChars="41"/>
              <w:jc w:val="left"/>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201</w:t>
            </w:r>
            <w:r>
              <w:rPr>
                <w:rFonts w:hint="eastAsia" w:ascii="宋体" w:cs="宋体"/>
                <w:color w:val="auto"/>
                <w:spacing w:val="1"/>
                <w:kern w:val="0"/>
                <w:sz w:val="24"/>
                <w:szCs w:val="24"/>
                <w:highlight w:val="none"/>
                <w:lang w:val="en-US" w:eastAsia="zh-CN" w:bidi="ar-SA"/>
              </w:rPr>
              <w:t>9</w:t>
            </w:r>
            <w:r>
              <w:rPr>
                <w:rFonts w:hint="eastAsia" w:ascii="宋体" w:cs="宋体"/>
                <w:color w:val="auto"/>
                <w:spacing w:val="1"/>
                <w:kern w:val="0"/>
                <w:sz w:val="24"/>
                <w:szCs w:val="24"/>
                <w:highlight w:val="none"/>
                <w:lang w:bidi="ar-SA"/>
              </w:rPr>
              <w:t>年1月1日以来（时间以合同签订日期为准）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3.6</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0" w:lineRule="atLeast"/>
              <w:jc w:val="center"/>
              <w:rPr>
                <w:rFonts w:hint="eastAsia" w:ascii="宋体" w:cs="宋体"/>
                <w:color w:val="auto"/>
                <w:sz w:val="24"/>
                <w:szCs w:val="24"/>
                <w:highlight w:val="none"/>
                <w:lang w:bidi="ar-SA"/>
              </w:rPr>
            </w:pPr>
            <w:r>
              <w:rPr>
                <w:rFonts w:hint="eastAsia" w:ascii="宋体" w:cs="宋体"/>
                <w:color w:val="auto"/>
                <w:sz w:val="24"/>
                <w:szCs w:val="24"/>
                <w:highlight w:val="none"/>
                <w:lang w:bidi="ar-SA"/>
              </w:rPr>
              <w:t>是否允许递交备选投标方案</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宋体" w:cs="宋体"/>
                <w:color w:val="auto"/>
                <w:sz w:val="24"/>
                <w:szCs w:val="24"/>
                <w:highlight w:val="none"/>
                <w:lang w:bidi="ar-SA"/>
              </w:rPr>
            </w:pPr>
            <w:r>
              <w:rPr>
                <w:rFonts w:hint="eastAsia" w:ascii="宋体" w:cs="宋体"/>
                <w:color w:val="auto"/>
                <w:sz w:val="24"/>
                <w:szCs w:val="24"/>
                <w:highlight w:val="none"/>
                <w:lang w:bidi="ar-SA"/>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1"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3.7.3</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签字或盖章要求</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宋体" w:cs="宋体"/>
                <w:color w:val="auto"/>
                <w:sz w:val="24"/>
                <w:szCs w:val="24"/>
                <w:highlight w:val="none"/>
                <w:lang w:bidi="ar-SA"/>
              </w:rPr>
            </w:pPr>
            <w:r>
              <w:rPr>
                <w:rFonts w:hint="eastAsia" w:ascii="宋体" w:cs="宋体"/>
                <w:color w:val="auto"/>
                <w:spacing w:val="2"/>
                <w:sz w:val="24"/>
                <w:szCs w:val="24"/>
                <w:highlight w:val="none"/>
                <w:lang w:bidi="ar-SA"/>
              </w:rPr>
              <w:t>招标文件规定的投标文件格式中所有签字盖章的地方必须按招标文件明示的方式签字或盖章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3.7.4</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投标文件份数</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86" w:rightChars="41"/>
              <w:jc w:val="left"/>
              <w:rPr>
                <w:rFonts w:hint="eastAsia"/>
                <w:color w:val="auto"/>
                <w:sz w:val="24"/>
                <w:szCs w:val="32"/>
                <w:highlight w:val="none"/>
              </w:rPr>
            </w:pPr>
            <w:r>
              <w:rPr>
                <w:rFonts w:hint="eastAsia"/>
                <w:color w:val="auto"/>
                <w:sz w:val="24"/>
                <w:szCs w:val="32"/>
                <w:highlight w:val="none"/>
              </w:rPr>
              <w:t>电子</w:t>
            </w:r>
            <w:r>
              <w:rPr>
                <w:rFonts w:hint="eastAsia"/>
                <w:color w:val="auto"/>
                <w:sz w:val="24"/>
                <w:szCs w:val="32"/>
                <w:highlight w:val="none"/>
                <w:lang w:eastAsia="zh-CN"/>
              </w:rPr>
              <w:t>交易系统中递交电子</w:t>
            </w:r>
            <w:r>
              <w:rPr>
                <w:rFonts w:hint="eastAsia"/>
                <w:color w:val="auto"/>
                <w:sz w:val="24"/>
                <w:szCs w:val="32"/>
                <w:highlight w:val="none"/>
              </w:rPr>
              <w:t>投标文件一份。</w:t>
            </w:r>
          </w:p>
          <w:p>
            <w:pPr>
              <w:pStyle w:val="2"/>
              <w:ind w:left="0" w:leftChars="0" w:firstLine="0" w:firstLineChars="0"/>
              <w:rPr>
                <w:rFonts w:hint="default"/>
                <w:color w:val="auto"/>
                <w:sz w:val="24"/>
                <w:szCs w:val="24"/>
                <w:highlight w:val="none"/>
                <w:lang w:val="en-US" w:eastAsia="zh-CN"/>
              </w:rPr>
            </w:pPr>
            <w:r>
              <w:rPr>
                <w:rFonts w:hint="eastAsia" w:ascii="宋体" w:cs="宋体"/>
                <w:b w:val="0"/>
                <w:bCs w:val="0"/>
                <w:color w:val="auto"/>
                <w:sz w:val="24"/>
                <w:szCs w:val="24"/>
                <w:highlight w:val="none"/>
                <w:lang w:val="en-US" w:eastAsia="zh-CN" w:bidi="ar-SA"/>
              </w:rPr>
              <w:t>中标单位办理中标通知书后，根据招标人要求按规定方式提供纸质投标文件。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7"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4.2.3</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是否退还投标文件</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宋体" w:cs="宋体"/>
                <w:color w:val="auto"/>
                <w:sz w:val="24"/>
                <w:szCs w:val="24"/>
                <w:highlight w:val="none"/>
                <w:lang w:bidi="ar-SA"/>
              </w:rPr>
            </w:pPr>
            <w:r>
              <w:rPr>
                <w:rFonts w:hint="eastAsia" w:ascii="宋体" w:cs="宋体"/>
                <w:color w:val="auto"/>
                <w:sz w:val="24"/>
                <w:szCs w:val="24"/>
                <w:highlight w:val="none"/>
                <w:lang w:bidi="ar-SA"/>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6"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5.1</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开标时间和地点</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宋体" w:cs="宋体"/>
                <w:color w:val="auto"/>
                <w:sz w:val="24"/>
                <w:szCs w:val="24"/>
                <w:highlight w:val="none"/>
                <w:lang w:bidi="ar-SA"/>
              </w:rPr>
            </w:pPr>
            <w:r>
              <w:rPr>
                <w:rFonts w:hint="eastAsia" w:ascii="宋体" w:cs="宋体"/>
                <w:color w:val="auto"/>
                <w:sz w:val="24"/>
                <w:szCs w:val="24"/>
                <w:highlight w:val="none"/>
                <w:lang w:bidi="ar-SA"/>
              </w:rPr>
              <w:t>开标时间：同投标截止时间</w:t>
            </w:r>
          </w:p>
          <w:p>
            <w:pPr>
              <w:keepNext w:val="0"/>
              <w:keepLines w:val="0"/>
              <w:pageBreakBefore w:val="0"/>
              <w:widowControl w:val="0"/>
              <w:kinsoku/>
              <w:overflowPunct/>
              <w:topLinePunct w:val="0"/>
              <w:autoSpaceDE/>
              <w:autoSpaceDN/>
              <w:bidi w:val="0"/>
              <w:adjustRightInd/>
              <w:snapToGrid/>
              <w:spacing w:line="400" w:lineRule="exact"/>
              <w:textAlignment w:val="auto"/>
              <w:rPr>
                <w:rFonts w:hint="eastAsia" w:ascii="宋体" w:cs="宋体"/>
                <w:bCs/>
                <w:color w:val="auto"/>
                <w:sz w:val="24"/>
                <w:szCs w:val="24"/>
                <w:highlight w:val="none"/>
                <w:lang w:bidi="ar-SA"/>
              </w:rPr>
            </w:pPr>
            <w:r>
              <w:rPr>
                <w:rFonts w:hint="eastAsia" w:ascii="宋体" w:cs="宋体"/>
                <w:color w:val="auto"/>
                <w:sz w:val="24"/>
                <w:szCs w:val="24"/>
                <w:highlight w:val="none"/>
                <w:lang w:bidi="ar-SA"/>
              </w:rPr>
              <w:t>开标地点：</w:t>
            </w:r>
            <w:r>
              <w:rPr>
                <w:rFonts w:hint="eastAsia" w:ascii="宋体" w:cs="宋体"/>
                <w:bCs/>
                <w:color w:val="auto"/>
                <w:sz w:val="24"/>
                <w:szCs w:val="24"/>
                <w:highlight w:val="none"/>
                <w:lang w:bidi="ar-SA"/>
              </w:rPr>
              <w:t>平顶山市公共资源交易中心</w:t>
            </w:r>
          </w:p>
          <w:p>
            <w:pPr>
              <w:keepNext w:val="0"/>
              <w:keepLines w:val="0"/>
              <w:pageBreakBefore w:val="0"/>
              <w:widowControl w:val="0"/>
              <w:kinsoku/>
              <w:overflowPunct/>
              <w:topLinePunct w:val="0"/>
              <w:autoSpaceDE/>
              <w:autoSpaceDN/>
              <w:bidi w:val="0"/>
              <w:adjustRightInd/>
              <w:snapToGrid/>
              <w:spacing w:line="400" w:lineRule="exact"/>
              <w:textAlignment w:val="auto"/>
              <w:rPr>
                <w:rFonts w:hint="eastAsia" w:ascii="宋体" w:cs="宋体"/>
                <w:color w:val="auto"/>
                <w:sz w:val="24"/>
                <w:szCs w:val="24"/>
                <w:highlight w:val="none"/>
                <w:lang w:bidi="ar-SA"/>
              </w:rPr>
            </w:pPr>
            <w:r>
              <w:rPr>
                <w:rFonts w:hint="eastAsia"/>
                <w:b/>
                <w:bCs/>
                <w:color w:val="auto"/>
                <w:sz w:val="24"/>
                <w:szCs w:val="32"/>
                <w:highlight w:val="none"/>
              </w:rPr>
              <w:t>平顶山市公共资源交易中心全面实行在线“不见面”开标，投标人远程在线解密投标文件，不再到开标现场，投标人开标前应仔细阅读招标文件中《“不见面”开标注意事项及操作流程》。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5.2</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开标程序</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宋体" w:cs="宋体"/>
                <w:color w:val="auto"/>
                <w:sz w:val="24"/>
                <w:szCs w:val="24"/>
                <w:highlight w:val="none"/>
                <w:u w:val="single"/>
                <w:lang w:bidi="ar-SA"/>
              </w:rPr>
            </w:pPr>
            <w:r>
              <w:rPr>
                <w:rFonts w:hint="eastAsia" w:ascii="宋体" w:cs="宋体"/>
                <w:color w:val="auto"/>
                <w:sz w:val="24"/>
                <w:szCs w:val="24"/>
                <w:highlight w:val="none"/>
                <w:lang w:bidi="ar-SA"/>
              </w:rPr>
              <w:t>按平顶山市公共资源交易中心交易系统公布的顺序进行开标。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8"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6.1.1</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评标委员会的组建</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rPr>
                <w:rFonts w:hint="eastAsia" w:ascii="宋体" w:hAnsi="宋体"/>
                <w:color w:val="auto"/>
                <w:sz w:val="24"/>
                <w:szCs w:val="24"/>
                <w:highlight w:val="none"/>
              </w:rPr>
            </w:pPr>
            <w:r>
              <w:rPr>
                <w:rFonts w:hint="eastAsia" w:ascii="宋体" w:hAnsi="宋体"/>
                <w:color w:val="auto"/>
                <w:sz w:val="24"/>
                <w:szCs w:val="24"/>
                <w:highlight w:val="none"/>
              </w:rPr>
              <w:t>评标委员会构成：</w:t>
            </w:r>
            <w:r>
              <w:rPr>
                <w:rFonts w:hint="eastAsia" w:ascii="宋体" w:hAnsi="宋体"/>
                <w:color w:val="auto"/>
                <w:sz w:val="24"/>
                <w:szCs w:val="24"/>
                <w:highlight w:val="none"/>
                <w:u w:val="none"/>
              </w:rPr>
              <w:t>7</w:t>
            </w:r>
            <w:r>
              <w:rPr>
                <w:rFonts w:hint="eastAsia" w:ascii="宋体" w:hAnsi="宋体"/>
                <w:color w:val="auto"/>
                <w:sz w:val="24"/>
                <w:szCs w:val="24"/>
                <w:highlight w:val="none"/>
              </w:rPr>
              <w:t>人单数</w:t>
            </w:r>
            <w:r>
              <w:rPr>
                <w:rFonts w:hint="eastAsia" w:ascii="宋体" w:hAnsi="宋体"/>
                <w:color w:val="auto"/>
                <w:sz w:val="24"/>
                <w:szCs w:val="24"/>
                <w:highlight w:val="none"/>
                <w:lang w:eastAsia="zh-CN"/>
              </w:rPr>
              <w:t>，其中经济、技术类专家人数不得</w:t>
            </w:r>
            <w:r>
              <w:rPr>
                <w:rFonts w:hint="eastAsia" w:ascii="宋体" w:hAnsi="宋体"/>
                <w:color w:val="auto"/>
                <w:sz w:val="24"/>
                <w:szCs w:val="24"/>
                <w:highlight w:val="none"/>
                <w:lang w:val="en-US" w:eastAsia="zh-CN"/>
              </w:rPr>
              <w:t>少</w:t>
            </w:r>
            <w:r>
              <w:rPr>
                <w:rFonts w:hint="eastAsia" w:ascii="宋体" w:hAnsi="宋体"/>
                <w:color w:val="auto"/>
                <w:sz w:val="24"/>
                <w:szCs w:val="24"/>
                <w:highlight w:val="none"/>
                <w:lang w:eastAsia="zh-CN"/>
              </w:rPr>
              <w:t>于评标委员会总人数的2/3（</w:t>
            </w:r>
            <w:r>
              <w:rPr>
                <w:rFonts w:hint="eastAsia" w:ascii="宋体" w:hAnsi="宋体"/>
                <w:color w:val="auto"/>
                <w:sz w:val="24"/>
                <w:szCs w:val="24"/>
                <w:highlight w:val="none"/>
                <w:lang w:val="en-US" w:eastAsia="zh-CN"/>
              </w:rPr>
              <w:t>本项目委派业主代表2名</w:t>
            </w:r>
            <w:r>
              <w:rPr>
                <w:rFonts w:hint="eastAsia" w:ascii="宋体" w:hAnsi="宋体"/>
                <w:color w:val="auto"/>
                <w:sz w:val="24"/>
                <w:szCs w:val="24"/>
                <w:highlight w:val="none"/>
                <w:lang w:eastAsia="zh-CN"/>
              </w:rPr>
              <w:t>）。工程造价专家占技术经济专家组成人员应不少于三分之一。</w:t>
            </w:r>
          </w:p>
          <w:p>
            <w:pPr>
              <w:pStyle w:val="2"/>
              <w:spacing w:line="240" w:lineRule="auto"/>
              <w:ind w:left="0" w:leftChars="0" w:firstLine="0" w:firstLineChars="0"/>
              <w:rPr>
                <w:rFonts w:hint="eastAsia" w:ascii="宋体" w:hAnsi="宋体"/>
                <w:color w:val="auto"/>
                <w:sz w:val="24"/>
                <w:szCs w:val="24"/>
                <w:highlight w:val="none"/>
              </w:rPr>
            </w:pPr>
            <w:r>
              <w:rPr>
                <w:rFonts w:hint="eastAsia" w:ascii="宋体" w:hAnsi="宋体"/>
                <w:color w:val="auto"/>
                <w:sz w:val="24"/>
                <w:szCs w:val="24"/>
                <w:highlight w:val="none"/>
              </w:rPr>
              <w:t>评标专家确定方式：从相关</w:t>
            </w:r>
            <w:r>
              <w:rPr>
                <w:rFonts w:hint="eastAsia" w:ascii="宋体" w:hAnsi="宋体"/>
                <w:color w:val="auto"/>
                <w:sz w:val="24"/>
                <w:szCs w:val="24"/>
                <w:highlight w:val="none"/>
                <w:u w:val="none"/>
              </w:rPr>
              <w:t>评标专家库</w:t>
            </w:r>
            <w:r>
              <w:rPr>
                <w:rFonts w:hint="eastAsia" w:ascii="宋体" w:hAnsi="宋体"/>
                <w:color w:val="auto"/>
                <w:sz w:val="24"/>
                <w:szCs w:val="24"/>
                <w:highlight w:val="none"/>
              </w:rPr>
              <w:t>中随机抽取。</w:t>
            </w:r>
          </w:p>
          <w:p>
            <w:pPr>
              <w:pStyle w:val="2"/>
              <w:spacing w:line="240" w:lineRule="auto"/>
              <w:ind w:left="0" w:leftChars="0" w:firstLine="0" w:firstLineChars="0"/>
              <w:rPr>
                <w:rFonts w:hint="eastAsia" w:eastAsia="宋体"/>
                <w:color w:val="auto"/>
                <w:sz w:val="24"/>
                <w:szCs w:val="24"/>
                <w:highlight w:val="none"/>
                <w:lang w:eastAsia="zh-CN"/>
              </w:rPr>
            </w:pPr>
            <w:r>
              <w:rPr>
                <w:rFonts w:hint="eastAsia" w:ascii="宋体" w:hAnsi="宋体"/>
                <w:color w:val="auto"/>
                <w:sz w:val="24"/>
                <w:szCs w:val="24"/>
                <w:highlight w:val="none"/>
              </w:rPr>
              <w:t>上述规定为一组评标专家组成方式，根据项目标段数量和评标工作量，可由多组专家完成评审，但一个标段只能由一组专家评审。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6"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7.1</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0" w:lineRule="atLeast"/>
              <w:jc w:val="center"/>
              <w:rPr>
                <w:rFonts w:hint="eastAsia" w:ascii="宋体" w:cs="宋体"/>
                <w:color w:val="auto"/>
                <w:spacing w:val="1"/>
                <w:kern w:val="0"/>
                <w:sz w:val="24"/>
                <w:szCs w:val="24"/>
                <w:highlight w:val="none"/>
                <w:lang w:bidi="ar-SA"/>
              </w:rPr>
            </w:pPr>
            <w:r>
              <w:rPr>
                <w:rFonts w:hint="eastAsia" w:ascii="宋体" w:cs="宋体"/>
                <w:color w:val="auto"/>
                <w:spacing w:val="1"/>
                <w:kern w:val="0"/>
                <w:sz w:val="24"/>
                <w:szCs w:val="24"/>
                <w:highlight w:val="none"/>
                <w:lang w:bidi="ar-SA"/>
              </w:rPr>
              <w:t>是否授权评标委员会确定中标投标人</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ind w:firstLine="177" w:firstLineChars="74"/>
              <w:rPr>
                <w:rFonts w:hint="eastAsia" w:ascii="宋体" w:cs="宋体"/>
                <w:color w:val="auto"/>
                <w:sz w:val="24"/>
                <w:szCs w:val="24"/>
                <w:highlight w:val="none"/>
                <w:lang w:bidi="ar-SA"/>
              </w:rPr>
            </w:pPr>
            <w:r>
              <w:rPr>
                <w:rFonts w:hint="eastAsia" w:ascii="宋体" w:cs="宋体"/>
                <w:color w:val="auto"/>
                <w:sz w:val="24"/>
                <w:szCs w:val="24"/>
                <w:highlight w:val="none"/>
                <w:lang w:bidi="ar-SA"/>
              </w:rPr>
              <w:t>否；推荐的中标候选投标人数：</w:t>
            </w:r>
            <w:r>
              <w:rPr>
                <w:rFonts w:hint="eastAsia" w:ascii="宋体" w:cs="宋体"/>
                <w:color w:val="auto"/>
                <w:sz w:val="24"/>
                <w:szCs w:val="24"/>
                <w:highlight w:val="none"/>
                <w:u w:val="none"/>
                <w:lang w:val="en-US" w:eastAsia="zh-CN" w:bidi="ar-SA"/>
              </w:rPr>
              <w:t>3</w:t>
            </w:r>
            <w:r>
              <w:rPr>
                <w:rFonts w:hint="eastAsia" w:ascii="宋体" w:cs="宋体"/>
                <w:color w:val="auto"/>
                <w:sz w:val="24"/>
                <w:szCs w:val="24"/>
                <w:highlight w:val="none"/>
                <w:u w:val="none"/>
                <w:lang w:bidi="ar-SA"/>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6"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default" w:ascii="宋体" w:eastAsia="宋体" w:cs="宋体"/>
                <w:color w:val="auto"/>
                <w:spacing w:val="1"/>
                <w:kern w:val="0"/>
                <w:sz w:val="24"/>
                <w:szCs w:val="24"/>
                <w:highlight w:val="none"/>
                <w:lang w:val="en-US" w:eastAsia="zh-CN" w:bidi="ar-SA"/>
              </w:rPr>
            </w:pPr>
            <w:r>
              <w:rPr>
                <w:rFonts w:hint="eastAsia" w:ascii="宋体" w:cs="宋体"/>
                <w:color w:val="auto"/>
                <w:spacing w:val="1"/>
                <w:kern w:val="0"/>
                <w:sz w:val="24"/>
                <w:szCs w:val="24"/>
                <w:highlight w:val="none"/>
                <w:lang w:val="en-US" w:eastAsia="zh-CN" w:bidi="ar-SA"/>
              </w:rPr>
              <w:t>7.2.1</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0" w:lineRule="atLeast"/>
              <w:jc w:val="center"/>
              <w:rPr>
                <w:rFonts w:hint="eastAsia" w:ascii="宋体" w:cs="宋体"/>
                <w:color w:val="auto"/>
                <w:spacing w:val="1"/>
                <w:kern w:val="0"/>
                <w:sz w:val="24"/>
                <w:szCs w:val="24"/>
                <w:highlight w:val="none"/>
                <w:lang w:bidi="ar-SA"/>
              </w:rPr>
            </w:pPr>
            <w:r>
              <w:rPr>
                <w:rFonts w:hint="eastAsia"/>
                <w:color w:val="auto"/>
                <w:sz w:val="24"/>
                <w:szCs w:val="32"/>
                <w:highlight w:val="none"/>
              </w:rPr>
              <w:t>中标公示</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宋体" w:cs="宋体"/>
                <w:color w:val="auto"/>
                <w:sz w:val="24"/>
                <w:szCs w:val="24"/>
                <w:highlight w:val="none"/>
                <w:lang w:bidi="ar-SA"/>
              </w:rPr>
            </w:pPr>
            <w:r>
              <w:rPr>
                <w:rFonts w:hint="eastAsia"/>
                <w:color w:val="auto"/>
                <w:sz w:val="24"/>
                <w:szCs w:val="32"/>
                <w:highlight w:val="none"/>
              </w:rPr>
              <w:t>在中标通知书发出前，招标人将中标候选人的情况在本招标项目招标公告发布的同一媒介予以公示，公示期不少于3日。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6"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rightChars="0"/>
              <w:jc w:val="center"/>
              <w:rPr>
                <w:rFonts w:hint="eastAsia" w:ascii="宋体" w:hAnsi="Times New Roman" w:eastAsia="宋体" w:cs="宋体"/>
                <w:color w:val="auto"/>
                <w:spacing w:val="1"/>
                <w:kern w:val="0"/>
                <w:sz w:val="24"/>
                <w:szCs w:val="24"/>
                <w:highlight w:val="none"/>
                <w:lang w:val="en-US" w:eastAsia="zh-CN" w:bidi="ar-SA"/>
              </w:rPr>
            </w:pPr>
            <w:r>
              <w:rPr>
                <w:rFonts w:hint="eastAsia" w:ascii="宋体" w:cs="宋体"/>
                <w:color w:val="auto"/>
                <w:spacing w:val="1"/>
                <w:kern w:val="0"/>
                <w:sz w:val="24"/>
                <w:szCs w:val="24"/>
                <w:highlight w:val="none"/>
                <w:lang w:bidi="ar-SA"/>
              </w:rPr>
              <w:t>7.3.1</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Times New Roman" w:eastAsia="宋体" w:cs="宋体"/>
                <w:color w:val="auto"/>
                <w:kern w:val="2"/>
                <w:sz w:val="24"/>
                <w:szCs w:val="24"/>
                <w:highlight w:val="none"/>
                <w:lang w:val="en-US" w:eastAsia="zh-CN" w:bidi="ar-SA"/>
              </w:rPr>
            </w:pPr>
            <w:r>
              <w:rPr>
                <w:rFonts w:hint="eastAsia" w:ascii="宋体" w:cs="宋体"/>
                <w:color w:val="auto"/>
                <w:sz w:val="24"/>
                <w:szCs w:val="24"/>
                <w:highlight w:val="none"/>
                <w:lang w:bidi="ar-SA"/>
              </w:rPr>
              <w:t>履约担保</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宋体" w:cs="宋体"/>
                <w:color w:val="auto"/>
                <w:sz w:val="24"/>
                <w:szCs w:val="24"/>
                <w:highlight w:val="none"/>
                <w:lang w:bidi="ar-SA"/>
              </w:rPr>
            </w:pPr>
            <w:r>
              <w:rPr>
                <w:rFonts w:hint="eastAsia" w:ascii="宋体" w:cs="宋体"/>
                <w:color w:val="auto"/>
                <w:sz w:val="24"/>
                <w:szCs w:val="24"/>
                <w:highlight w:val="none"/>
                <w:lang w:bidi="ar-SA"/>
              </w:rPr>
              <w:t>履约担保的形式：现金、保函</w:t>
            </w:r>
          </w:p>
          <w:p>
            <w:pPr>
              <w:rPr>
                <w:rFonts w:hint="eastAsia" w:ascii="宋体" w:hAnsi="Times New Roman" w:eastAsia="宋体" w:cs="宋体"/>
                <w:color w:val="auto"/>
                <w:kern w:val="2"/>
                <w:sz w:val="24"/>
                <w:szCs w:val="24"/>
                <w:highlight w:val="none"/>
                <w:lang w:val="en-US" w:eastAsia="zh-CN" w:bidi="ar-SA"/>
              </w:rPr>
            </w:pPr>
            <w:r>
              <w:rPr>
                <w:rFonts w:hint="eastAsia" w:ascii="宋体" w:cs="宋体"/>
                <w:color w:val="auto"/>
                <w:sz w:val="24"/>
                <w:szCs w:val="24"/>
                <w:highlight w:val="none"/>
                <w:lang w:bidi="ar-SA"/>
              </w:rPr>
              <w:t>履约担保的金额：中标价的</w:t>
            </w:r>
            <w:r>
              <w:rPr>
                <w:rFonts w:hint="eastAsia" w:ascii="宋体" w:cs="宋体"/>
                <w:color w:val="auto"/>
                <w:sz w:val="24"/>
                <w:szCs w:val="24"/>
                <w:highlight w:val="none"/>
                <w:lang w:val="en-US" w:eastAsia="zh-CN" w:bidi="ar-SA"/>
              </w:rPr>
              <w:t>5</w:t>
            </w:r>
            <w:r>
              <w:rPr>
                <w:rFonts w:hint="eastAsia" w:ascii="宋体" w:cs="宋体"/>
                <w:color w:val="auto"/>
                <w:sz w:val="24"/>
                <w:szCs w:val="24"/>
                <w:highlight w:val="none"/>
                <w:lang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1" w:hRule="atLeast"/>
          <w:jc w:val="center"/>
        </w:trPr>
        <w:tc>
          <w:tcPr>
            <w:tcW w:w="872" w:type="dxa"/>
            <w:tcBorders>
              <w:top w:val="single" w:color="000000" w:sz="4" w:space="0"/>
              <w:left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default" w:ascii="宋体" w:eastAsia="宋体" w:cs="宋体"/>
                <w:color w:val="auto"/>
                <w:spacing w:val="1"/>
                <w:kern w:val="0"/>
                <w:sz w:val="24"/>
                <w:szCs w:val="24"/>
                <w:highlight w:val="none"/>
                <w:lang w:val="en-US" w:eastAsia="zh-CN" w:bidi="ar-SA"/>
              </w:rPr>
            </w:pPr>
            <w:r>
              <w:rPr>
                <w:rFonts w:hint="eastAsia" w:ascii="宋体" w:cs="宋体"/>
                <w:color w:val="auto"/>
                <w:spacing w:val="1"/>
                <w:kern w:val="0"/>
                <w:sz w:val="24"/>
                <w:szCs w:val="24"/>
                <w:highlight w:val="none"/>
                <w:lang w:val="en-US" w:eastAsia="zh-CN" w:bidi="ar-SA"/>
              </w:rPr>
              <w:t>8.1</w:t>
            </w:r>
          </w:p>
        </w:tc>
        <w:tc>
          <w:tcPr>
            <w:tcW w:w="1762" w:type="dxa"/>
            <w:tcBorders>
              <w:top w:val="single" w:color="000000" w:sz="4" w:space="0"/>
              <w:left w:val="single" w:color="000000" w:sz="4" w:space="0"/>
              <w:right w:val="single" w:color="000000" w:sz="4" w:space="0"/>
              <w:tl2br w:val="nil"/>
              <w:tr2bl w:val="nil"/>
            </w:tcBorders>
            <w:vAlign w:val="center"/>
          </w:tcPr>
          <w:p>
            <w:pPr>
              <w:spacing w:line="0" w:lineRule="atLeast"/>
              <w:jc w:val="center"/>
              <w:rPr>
                <w:rFonts w:hint="default"/>
                <w:color w:val="auto"/>
                <w:sz w:val="24"/>
                <w:szCs w:val="32"/>
                <w:highlight w:val="none"/>
                <w:lang w:val="en-US" w:eastAsia="zh-CN"/>
              </w:rPr>
            </w:pPr>
            <w:r>
              <w:rPr>
                <w:rFonts w:hint="eastAsia"/>
                <w:color w:val="auto"/>
                <w:sz w:val="24"/>
                <w:szCs w:val="32"/>
                <w:highlight w:val="none"/>
                <w:lang w:val="en-US" w:eastAsia="zh-CN"/>
              </w:rPr>
              <w:t>重新招标</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宋体" w:cs="宋体"/>
                <w:color w:val="auto"/>
                <w:sz w:val="24"/>
                <w:szCs w:val="24"/>
                <w:highlight w:val="none"/>
                <w:lang w:val="en-US" w:eastAsia="zh-CN" w:bidi="ar-SA"/>
              </w:rPr>
            </w:pPr>
            <w:r>
              <w:rPr>
                <w:rFonts w:hint="eastAsia" w:ascii="宋体" w:cs="宋体"/>
                <w:color w:val="auto"/>
                <w:sz w:val="24"/>
                <w:szCs w:val="24"/>
                <w:highlight w:val="none"/>
                <w:lang w:val="en-US" w:eastAsia="zh-CN" w:bidi="ar-SA"/>
              </w:rPr>
              <w:t>有下列情形之一的，将重新招标：</w:t>
            </w:r>
          </w:p>
          <w:p>
            <w:pPr>
              <w:numPr>
                <w:ilvl w:val="0"/>
                <w:numId w:val="2"/>
              </w:numPr>
              <w:ind w:firstLine="177" w:firstLineChars="74"/>
              <w:rPr>
                <w:rFonts w:hint="eastAsia" w:ascii="宋体" w:cs="宋体"/>
                <w:color w:val="auto"/>
                <w:sz w:val="24"/>
                <w:szCs w:val="24"/>
                <w:highlight w:val="none"/>
                <w:lang w:val="en-US" w:eastAsia="zh-CN" w:bidi="ar-SA"/>
              </w:rPr>
            </w:pPr>
            <w:r>
              <w:rPr>
                <w:rFonts w:hint="eastAsia" w:ascii="宋体" w:cs="宋体"/>
                <w:color w:val="auto"/>
                <w:sz w:val="24"/>
                <w:szCs w:val="24"/>
                <w:highlight w:val="none"/>
                <w:lang w:val="en-US" w:eastAsia="zh-CN" w:bidi="ar-SA"/>
              </w:rPr>
              <w:t>投标截止时间止，投标人少于三个的；</w:t>
            </w:r>
          </w:p>
          <w:p>
            <w:pPr>
              <w:numPr>
                <w:ilvl w:val="0"/>
                <w:numId w:val="0"/>
              </w:numPr>
              <w:ind w:firstLine="240" w:firstLineChars="100"/>
              <w:rPr>
                <w:rFonts w:hint="default" w:ascii="宋体" w:eastAsia="宋体" w:cs="宋体"/>
                <w:color w:val="auto"/>
                <w:sz w:val="24"/>
                <w:szCs w:val="24"/>
                <w:highlight w:val="none"/>
                <w:lang w:val="en-US" w:eastAsia="zh-CN" w:bidi="ar-SA"/>
              </w:rPr>
            </w:pPr>
            <w:r>
              <w:rPr>
                <w:rFonts w:hint="eastAsia" w:ascii="宋体" w:cs="宋体"/>
                <w:color w:val="auto"/>
                <w:sz w:val="24"/>
                <w:szCs w:val="24"/>
                <w:highlight w:val="none"/>
                <w:lang w:val="en-US" w:eastAsia="zh-CN" w:bidi="ar-SA"/>
              </w:rPr>
              <w:t>2、经评标委员会评审后否决所有投标的。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s="宋体"/>
                <w:color w:val="auto"/>
                <w:spacing w:val="1"/>
                <w:kern w:val="0"/>
                <w:sz w:val="24"/>
                <w:szCs w:val="24"/>
                <w:highlight w:val="none"/>
                <w:lang w:val="en-US" w:eastAsia="zh-CN" w:bidi="ar-SA"/>
              </w:rPr>
            </w:pPr>
            <w:r>
              <w:rPr>
                <w:rFonts w:hint="eastAsia" w:ascii="宋体" w:cs="宋体"/>
                <w:color w:val="auto"/>
                <w:spacing w:val="1"/>
                <w:kern w:val="0"/>
                <w:sz w:val="24"/>
                <w:szCs w:val="24"/>
                <w:highlight w:val="none"/>
                <w:lang w:val="en-US" w:eastAsia="zh-CN" w:bidi="ar-SA"/>
              </w:rPr>
              <w:t>10</w:t>
            </w:r>
          </w:p>
        </w:tc>
        <w:tc>
          <w:tcPr>
            <w:tcW w:w="892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ind w:firstLine="177" w:firstLineChars="74"/>
              <w:rPr>
                <w:rFonts w:hint="eastAsia"/>
                <w:color w:val="auto"/>
                <w:sz w:val="24"/>
                <w:szCs w:val="32"/>
                <w:highlight w:val="none"/>
              </w:rPr>
            </w:pPr>
            <w:r>
              <w:rPr>
                <w:rFonts w:hint="eastAsia" w:ascii="宋体" w:cs="宋体"/>
                <w:color w:val="auto"/>
                <w:sz w:val="24"/>
                <w:szCs w:val="24"/>
                <w:highlight w:val="none"/>
                <w:lang w:bidi="ar-SA"/>
              </w:rPr>
              <w:t>需要补充的其他内容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s="宋体"/>
                <w:color w:val="auto"/>
                <w:spacing w:val="1"/>
                <w:kern w:val="0"/>
                <w:sz w:val="24"/>
                <w:szCs w:val="24"/>
                <w:highlight w:val="none"/>
                <w:lang w:val="en-US" w:eastAsia="zh-CN" w:bidi="ar-SA"/>
              </w:rPr>
            </w:pPr>
            <w:r>
              <w:rPr>
                <w:rFonts w:hint="eastAsia" w:ascii="宋体" w:cs="宋体"/>
                <w:color w:val="auto"/>
                <w:spacing w:val="1"/>
                <w:kern w:val="0"/>
                <w:sz w:val="24"/>
                <w:szCs w:val="24"/>
                <w:highlight w:val="none"/>
                <w:lang w:val="en-US" w:eastAsia="zh-CN" w:bidi="ar-SA"/>
              </w:rPr>
              <w:t>10.1</w:t>
            </w:r>
          </w:p>
        </w:tc>
        <w:tc>
          <w:tcPr>
            <w:tcW w:w="892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ind w:firstLine="177" w:firstLineChars="74"/>
              <w:rPr>
                <w:rFonts w:hint="eastAsia"/>
                <w:color w:val="auto"/>
                <w:sz w:val="24"/>
                <w:szCs w:val="32"/>
                <w:highlight w:val="none"/>
              </w:rPr>
            </w:pPr>
            <w:r>
              <w:rPr>
                <w:rFonts w:hint="eastAsia" w:ascii="宋体" w:cs="宋体"/>
                <w:color w:val="auto"/>
                <w:sz w:val="24"/>
                <w:szCs w:val="24"/>
                <w:highlight w:val="none"/>
                <w:lang w:val="en-US" w:eastAsia="zh-CN" w:bidi="ar-SA"/>
              </w:rPr>
              <w:t>词语定义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1"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s="宋体"/>
                <w:color w:val="auto"/>
                <w:spacing w:val="1"/>
                <w:kern w:val="0"/>
                <w:sz w:val="24"/>
                <w:szCs w:val="24"/>
                <w:highlight w:val="none"/>
                <w:lang w:val="en-US" w:eastAsia="zh-CN" w:bidi="ar-SA"/>
              </w:rPr>
            </w:pPr>
            <w:r>
              <w:rPr>
                <w:rFonts w:hint="eastAsia" w:ascii="宋体" w:cs="宋体"/>
                <w:color w:val="auto"/>
                <w:spacing w:val="1"/>
                <w:kern w:val="0"/>
                <w:sz w:val="24"/>
                <w:szCs w:val="24"/>
                <w:highlight w:val="none"/>
                <w:lang w:val="en-US" w:eastAsia="zh-CN" w:bidi="ar-SA"/>
              </w:rPr>
              <w:t>10.1.1</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color w:val="auto"/>
                <w:sz w:val="24"/>
                <w:szCs w:val="32"/>
                <w:highlight w:val="none"/>
              </w:rPr>
            </w:pPr>
            <w:r>
              <w:rPr>
                <w:rFonts w:hint="eastAsia" w:ascii="宋体" w:cs="宋体"/>
                <w:color w:val="auto"/>
                <w:sz w:val="24"/>
                <w:szCs w:val="24"/>
                <w:highlight w:val="none"/>
                <w:lang w:val="en-US" w:eastAsia="zh-CN" w:bidi="ar-SA"/>
              </w:rPr>
              <w:t>类似业绩</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ind w:firstLine="177" w:firstLineChars="74"/>
              <w:rPr>
                <w:rFonts w:hint="eastAsia"/>
                <w:color w:val="auto"/>
                <w:sz w:val="24"/>
                <w:szCs w:val="32"/>
                <w:highlight w:val="none"/>
              </w:rPr>
            </w:pPr>
            <w:r>
              <w:rPr>
                <w:rFonts w:hint="eastAsia"/>
                <w:color w:val="auto"/>
                <w:sz w:val="24"/>
                <w:szCs w:val="24"/>
                <w:highlight w:val="none"/>
              </w:rPr>
              <w:t>指201</w:t>
            </w:r>
            <w:r>
              <w:rPr>
                <w:rFonts w:hint="eastAsia"/>
                <w:color w:val="auto"/>
                <w:sz w:val="24"/>
                <w:szCs w:val="24"/>
                <w:highlight w:val="none"/>
                <w:lang w:val="en-US" w:eastAsia="zh-CN"/>
              </w:rPr>
              <w:t>9</w:t>
            </w:r>
            <w:r>
              <w:rPr>
                <w:rFonts w:hint="eastAsia"/>
                <w:color w:val="auto"/>
                <w:sz w:val="24"/>
                <w:szCs w:val="24"/>
                <w:highlight w:val="none"/>
              </w:rPr>
              <w:t>年1月</w:t>
            </w:r>
            <w:r>
              <w:rPr>
                <w:rFonts w:hint="eastAsia"/>
                <w:color w:val="auto"/>
                <w:sz w:val="24"/>
                <w:szCs w:val="24"/>
                <w:highlight w:val="none"/>
                <w:lang w:val="en-US" w:eastAsia="zh-CN"/>
              </w:rPr>
              <w:t>1日</w:t>
            </w:r>
            <w:r>
              <w:rPr>
                <w:rFonts w:hint="eastAsia"/>
                <w:color w:val="auto"/>
                <w:sz w:val="24"/>
                <w:szCs w:val="24"/>
                <w:highlight w:val="none"/>
              </w:rPr>
              <w:t>以来。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9" w:hRule="atLeast"/>
          <w:jc w:val="center"/>
        </w:trPr>
        <w:tc>
          <w:tcPr>
            <w:tcW w:w="8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20"/>
              <w:jc w:val="center"/>
              <w:rPr>
                <w:rFonts w:hint="eastAsia" w:ascii="宋体" w:cs="宋体"/>
                <w:color w:val="auto"/>
                <w:spacing w:val="1"/>
                <w:kern w:val="0"/>
                <w:sz w:val="24"/>
                <w:szCs w:val="24"/>
                <w:highlight w:val="none"/>
                <w:lang w:val="en-US" w:eastAsia="zh-CN" w:bidi="ar-SA"/>
              </w:rPr>
            </w:pPr>
            <w:r>
              <w:rPr>
                <w:rFonts w:hint="eastAsia" w:ascii="宋体" w:cs="宋体"/>
                <w:color w:val="auto"/>
                <w:spacing w:val="1"/>
                <w:kern w:val="0"/>
                <w:sz w:val="24"/>
                <w:szCs w:val="24"/>
                <w:highlight w:val="none"/>
                <w:lang w:val="en-US" w:eastAsia="zh-CN" w:bidi="ar-SA"/>
              </w:rPr>
              <w:t>10.1.2</w:t>
            </w:r>
          </w:p>
        </w:tc>
        <w:tc>
          <w:tcPr>
            <w:tcW w:w="176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cs="宋体"/>
                <w:color w:val="auto"/>
                <w:sz w:val="24"/>
                <w:szCs w:val="24"/>
                <w:highlight w:val="none"/>
                <w:lang w:val="en-US" w:eastAsia="zh-CN" w:bidi="ar-SA"/>
              </w:rPr>
            </w:pPr>
            <w:r>
              <w:rPr>
                <w:rFonts w:hint="eastAsia" w:ascii="宋体" w:cs="宋体"/>
                <w:color w:val="auto"/>
                <w:sz w:val="24"/>
                <w:szCs w:val="24"/>
                <w:highlight w:val="none"/>
                <w:lang w:val="en-US" w:eastAsia="zh-CN" w:bidi="ar-SA"/>
              </w:rPr>
              <w:t>不良记录</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color w:val="auto"/>
                <w:sz w:val="24"/>
                <w:szCs w:val="24"/>
                <w:highlight w:val="none"/>
              </w:rPr>
            </w:pPr>
            <w:r>
              <w:rPr>
                <w:rFonts w:hint="eastAsia" w:ascii="宋体" w:hAnsi="宋体" w:cs="宋体"/>
                <w:color w:val="auto"/>
                <w:sz w:val="21"/>
                <w:szCs w:val="21"/>
                <w:highlight w:val="none"/>
                <w:lang w:val="en-US" w:eastAsia="zh-CN"/>
              </w:rPr>
              <w:t>提供中国执行信息公开网 “失信被执行人”和信用中国网“重大税收违法失信主体”，中国政府采购网“政府采购严重违法失信行为名单”。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72" w:type="dxa"/>
            <w:tcBorders>
              <w:top w:val="single" w:color="000000" w:sz="4" w:space="0"/>
              <w:left w:val="single" w:color="000000" w:sz="4" w:space="0"/>
              <w:bottom w:val="single" w:color="auto" w:sz="4" w:space="0"/>
              <w:right w:val="single" w:color="000000" w:sz="4" w:space="0"/>
              <w:tl2br w:val="nil"/>
              <w:tr2bl w:val="nil"/>
            </w:tcBorders>
            <w:vAlign w:val="center"/>
          </w:tcPr>
          <w:p>
            <w:pPr>
              <w:autoSpaceDE w:val="0"/>
              <w:autoSpaceDN w:val="0"/>
              <w:adjustRightInd w:val="0"/>
              <w:spacing w:before="50"/>
              <w:ind w:right="-20"/>
              <w:jc w:val="center"/>
              <w:rPr>
                <w:rFonts w:hint="default" w:ascii="宋体" w:cs="宋体"/>
                <w:color w:val="auto"/>
                <w:spacing w:val="1"/>
                <w:kern w:val="0"/>
                <w:sz w:val="24"/>
                <w:szCs w:val="24"/>
                <w:highlight w:val="none"/>
                <w:lang w:val="en-US" w:eastAsia="zh-CN" w:bidi="ar-SA"/>
              </w:rPr>
            </w:pPr>
            <w:r>
              <w:rPr>
                <w:rFonts w:hint="eastAsia" w:ascii="宋体" w:cs="宋体"/>
                <w:color w:val="auto"/>
                <w:spacing w:val="1"/>
                <w:kern w:val="0"/>
                <w:sz w:val="24"/>
                <w:szCs w:val="24"/>
                <w:highlight w:val="none"/>
                <w:lang w:val="en-US" w:eastAsia="zh-CN" w:bidi="ar-SA"/>
              </w:rPr>
              <w:t>10.2</w:t>
            </w:r>
          </w:p>
        </w:tc>
        <w:tc>
          <w:tcPr>
            <w:tcW w:w="1762" w:type="dxa"/>
            <w:tcBorders>
              <w:top w:val="single" w:color="000000" w:sz="4" w:space="0"/>
              <w:left w:val="single" w:color="000000" w:sz="4" w:space="0"/>
              <w:bottom w:val="single" w:color="auto" w:sz="4" w:space="0"/>
              <w:right w:val="single" w:color="000000" w:sz="4" w:space="0"/>
              <w:tl2br w:val="nil"/>
              <w:tr2bl w:val="nil"/>
            </w:tcBorders>
            <w:vAlign w:val="center"/>
          </w:tcPr>
          <w:p>
            <w:pPr>
              <w:jc w:val="center"/>
              <w:rPr>
                <w:rFonts w:hint="eastAsia" w:ascii="宋体" w:cs="宋体"/>
                <w:color w:val="auto"/>
                <w:sz w:val="24"/>
                <w:szCs w:val="24"/>
                <w:highlight w:val="none"/>
                <w:lang w:val="en-US" w:eastAsia="zh-CN" w:bidi="ar-SA"/>
              </w:rPr>
            </w:pPr>
            <w:r>
              <w:rPr>
                <w:rFonts w:hint="eastAsia"/>
                <w:color w:val="auto"/>
                <w:sz w:val="24"/>
                <w:szCs w:val="32"/>
                <w:highlight w:val="none"/>
              </w:rPr>
              <w:t>同义词语</w:t>
            </w:r>
          </w:p>
        </w:tc>
        <w:tc>
          <w:tcPr>
            <w:tcW w:w="7165" w:type="dxa"/>
            <w:tcBorders>
              <w:top w:val="single" w:color="000000" w:sz="4" w:space="0"/>
              <w:left w:val="single" w:color="000000" w:sz="4" w:space="0"/>
              <w:bottom w:val="single" w:color="000000" w:sz="4" w:space="0"/>
              <w:right w:val="single" w:color="000000" w:sz="4" w:space="0"/>
              <w:tl2br w:val="nil"/>
              <w:tr2bl w:val="nil"/>
            </w:tcBorders>
            <w:vAlign w:val="center"/>
          </w:tcPr>
          <w:p>
            <w:pPr>
              <w:ind w:firstLine="177" w:firstLineChars="74"/>
              <w:rPr>
                <w:rFonts w:hint="eastAsia" w:ascii="宋体" w:cs="宋体"/>
                <w:color w:val="auto"/>
                <w:sz w:val="24"/>
                <w:szCs w:val="24"/>
                <w:highlight w:val="none"/>
                <w:lang w:val="en-US" w:eastAsia="zh-CN" w:bidi="ar-SA"/>
              </w:rPr>
            </w:pPr>
            <w:r>
              <w:rPr>
                <w:rFonts w:hint="eastAsia"/>
                <w:color w:val="auto"/>
                <w:sz w:val="24"/>
                <w:szCs w:val="32"/>
                <w:highlight w:val="none"/>
              </w:rPr>
              <w:t>构成招标文件组成部分的“通用合同条款”、“专用合同条款”、“技术标准和要求”和“工程量清单”等章节中出现的措辞“发包人”和“承包人”，在招标投标阶段应当分别按“招标人”和“投标人”进行理解。</w:t>
            </w:r>
          </w:p>
        </w:tc>
      </w:tr>
    </w:tbl>
    <w:tbl>
      <w:tblPr>
        <w:tblStyle w:val="19"/>
        <w:tblpPr w:leftFromText="180" w:rightFromText="180" w:vertAnchor="text" w:horzAnchor="page" w:tblpX="1056" w:tblpY="19"/>
        <w:tblOverlap w:val="never"/>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9"/>
        <w:gridCol w:w="1809"/>
        <w:gridCol w:w="7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2" w:hRule="atLeast"/>
        </w:trPr>
        <w:tc>
          <w:tcPr>
            <w:tcW w:w="819" w:type="dxa"/>
            <w:tcBorders>
              <w:tl2br w:val="nil"/>
              <w:tr2bl w:val="nil"/>
            </w:tcBorders>
            <w:vAlign w:val="center"/>
          </w:tcPr>
          <w:p>
            <w:pPr>
              <w:autoSpaceDE w:val="0"/>
              <w:autoSpaceDN w:val="0"/>
              <w:adjustRightInd w:val="0"/>
              <w:spacing w:before="50"/>
              <w:ind w:right="35"/>
              <w:jc w:val="center"/>
              <w:rPr>
                <w:rFonts w:hint="default" w:ascii="宋体" w:eastAsia="宋体" w:cs="宋体"/>
                <w:color w:val="auto"/>
                <w:spacing w:val="1"/>
                <w:kern w:val="0"/>
                <w:szCs w:val="21"/>
                <w:highlight w:val="none"/>
                <w:lang w:val="en-US" w:eastAsia="zh-CN" w:bidi="ar-SA"/>
              </w:rPr>
            </w:pPr>
            <w:bookmarkStart w:id="13" w:name="_Toc448154694"/>
            <w:r>
              <w:rPr>
                <w:rFonts w:hint="eastAsia" w:ascii="宋体" w:cs="宋体"/>
                <w:color w:val="auto"/>
                <w:spacing w:val="1"/>
                <w:kern w:val="0"/>
                <w:szCs w:val="21"/>
                <w:highlight w:val="none"/>
                <w:lang w:val="en-US" w:eastAsia="zh-CN" w:bidi="ar-SA"/>
              </w:rPr>
              <w:t>10.3</w:t>
            </w:r>
          </w:p>
        </w:tc>
        <w:tc>
          <w:tcPr>
            <w:tcW w:w="1809" w:type="dxa"/>
            <w:tcBorders>
              <w:tl2br w:val="nil"/>
              <w:tr2bl w:val="nil"/>
            </w:tcBorders>
            <w:vAlign w:val="center"/>
          </w:tcPr>
          <w:p>
            <w:pPr>
              <w:autoSpaceDE w:val="0"/>
              <w:autoSpaceDN w:val="0"/>
              <w:adjustRightInd w:val="0"/>
              <w:spacing w:before="50"/>
              <w:ind w:right="35"/>
              <w:jc w:val="center"/>
              <w:rPr>
                <w:rFonts w:hint="eastAsia" w:ascii="宋体" w:cs="宋体"/>
                <w:color w:val="auto"/>
                <w:spacing w:val="1"/>
                <w:kern w:val="0"/>
                <w:szCs w:val="21"/>
                <w:highlight w:val="none"/>
                <w:lang w:bidi="ar-SA"/>
              </w:rPr>
            </w:pPr>
            <w:r>
              <w:rPr>
                <w:rFonts w:hint="eastAsia" w:ascii="宋体" w:cs="宋体"/>
                <w:color w:val="auto"/>
                <w:spacing w:val="1"/>
                <w:kern w:val="0"/>
                <w:szCs w:val="21"/>
                <w:highlight w:val="none"/>
                <w:lang w:bidi="ar-SA"/>
              </w:rPr>
              <w:t>招标控制价</w:t>
            </w:r>
          </w:p>
        </w:tc>
        <w:tc>
          <w:tcPr>
            <w:tcW w:w="7151" w:type="dxa"/>
            <w:tcBorders>
              <w:tl2br w:val="nil"/>
              <w:tr2bl w:val="nil"/>
            </w:tcBorders>
            <w:vAlign w:val="center"/>
          </w:tcPr>
          <w:p>
            <w:pPr>
              <w:spacing w:line="360" w:lineRule="auto"/>
              <w:ind w:firstLine="178" w:firstLineChars="74"/>
              <w:rPr>
                <w:rFonts w:hint="eastAsia"/>
                <w:color w:val="auto"/>
                <w:sz w:val="24"/>
                <w:szCs w:val="32"/>
                <w:highlight w:val="none"/>
              </w:rPr>
            </w:pPr>
            <w:r>
              <w:rPr>
                <w:rFonts w:hint="eastAsia"/>
                <w:b/>
                <w:bCs/>
                <w:color w:val="auto"/>
                <w:sz w:val="24"/>
                <w:szCs w:val="32"/>
                <w:highlight w:val="none"/>
                <w:lang w:val="zh-CN" w:eastAsia="zh-CN"/>
              </w:rPr>
              <w:t>本项目第一标段招标控制价为</w:t>
            </w:r>
            <w:r>
              <w:rPr>
                <w:rFonts w:hint="eastAsia"/>
                <w:color w:val="auto"/>
                <w:sz w:val="24"/>
                <w:szCs w:val="32"/>
                <w:highlight w:val="none"/>
                <w:lang w:val="zh-CN" w:eastAsia="zh-CN"/>
              </w:rPr>
              <w:t>：</w:t>
            </w:r>
            <w:r>
              <w:rPr>
                <w:rFonts w:hint="eastAsia"/>
                <w:b/>
                <w:bCs/>
                <w:color w:val="auto"/>
                <w:sz w:val="24"/>
                <w:szCs w:val="32"/>
                <w:highlight w:val="none"/>
                <w:u w:val="single"/>
                <w:lang w:val="en-US" w:eastAsia="zh-CN"/>
              </w:rPr>
              <w:t xml:space="preserve"> </w:t>
            </w:r>
            <w:r>
              <w:rPr>
                <w:rFonts w:hint="eastAsia"/>
                <w:b w:val="0"/>
                <w:bCs w:val="0"/>
                <w:color w:val="auto"/>
                <w:sz w:val="24"/>
                <w:szCs w:val="32"/>
                <w:highlight w:val="none"/>
                <w:u w:val="single"/>
                <w:lang w:val="en-US" w:eastAsia="zh-CN"/>
              </w:rPr>
              <w:t xml:space="preserve">133352719.31 </w:t>
            </w:r>
            <w:r>
              <w:rPr>
                <w:rFonts w:hint="eastAsia"/>
                <w:color w:val="auto"/>
                <w:sz w:val="24"/>
                <w:szCs w:val="32"/>
                <w:highlight w:val="none"/>
                <w:lang w:val="en-US" w:eastAsia="zh-CN"/>
              </w:rPr>
              <w:t xml:space="preserve"> </w:t>
            </w:r>
            <w:r>
              <w:rPr>
                <w:rFonts w:hint="eastAsia"/>
                <w:color w:val="auto"/>
                <w:sz w:val="24"/>
                <w:szCs w:val="32"/>
                <w:highlight w:val="none"/>
              </w:rPr>
              <w:t xml:space="preserve">元 </w:t>
            </w:r>
          </w:p>
          <w:p>
            <w:pPr>
              <w:spacing w:line="360" w:lineRule="auto"/>
              <w:ind w:firstLine="177" w:firstLineChars="74"/>
              <w:rPr>
                <w:rFonts w:hint="eastAsia"/>
                <w:color w:val="auto"/>
                <w:sz w:val="24"/>
                <w:szCs w:val="32"/>
                <w:highlight w:val="none"/>
              </w:rPr>
            </w:pPr>
            <w:r>
              <w:rPr>
                <w:rFonts w:hint="eastAsia"/>
                <w:color w:val="auto"/>
                <w:sz w:val="24"/>
                <w:szCs w:val="32"/>
                <w:highlight w:val="none"/>
                <w:lang w:val="en-US" w:eastAsia="zh-CN"/>
              </w:rPr>
              <w:t>1、</w:t>
            </w:r>
            <w:r>
              <w:rPr>
                <w:rFonts w:hint="eastAsia"/>
                <w:b/>
                <w:bCs/>
                <w:color w:val="auto"/>
                <w:sz w:val="24"/>
                <w:szCs w:val="32"/>
                <w:highlight w:val="none"/>
              </w:rPr>
              <w:t>分部分项工程费总</w:t>
            </w:r>
            <w:r>
              <w:rPr>
                <w:rFonts w:hint="eastAsia"/>
                <w:b w:val="0"/>
                <w:bCs w:val="0"/>
                <w:color w:val="auto"/>
                <w:sz w:val="24"/>
                <w:szCs w:val="32"/>
                <w:highlight w:val="none"/>
              </w:rPr>
              <w:t>额：</w:t>
            </w:r>
            <w:r>
              <w:rPr>
                <w:rFonts w:hint="eastAsia"/>
                <w:color w:val="auto"/>
                <w:sz w:val="24"/>
                <w:szCs w:val="32"/>
                <w:highlight w:val="none"/>
                <w:u w:val="single"/>
              </w:rPr>
              <w:t>108856797.11</w:t>
            </w:r>
            <w:r>
              <w:rPr>
                <w:rFonts w:hint="eastAsia"/>
                <w:color w:val="auto"/>
                <w:sz w:val="24"/>
                <w:szCs w:val="32"/>
                <w:highlight w:val="none"/>
              </w:rPr>
              <w:t>元</w:t>
            </w:r>
          </w:p>
          <w:p>
            <w:pPr>
              <w:spacing w:line="360" w:lineRule="auto"/>
              <w:ind w:firstLine="177" w:firstLineChars="74"/>
              <w:rPr>
                <w:rFonts w:hint="eastAsia"/>
                <w:color w:val="auto"/>
                <w:sz w:val="24"/>
                <w:szCs w:val="32"/>
                <w:highlight w:val="none"/>
              </w:rPr>
            </w:pPr>
            <w:r>
              <w:rPr>
                <w:rFonts w:hint="eastAsia"/>
                <w:color w:val="auto"/>
                <w:sz w:val="24"/>
                <w:szCs w:val="32"/>
                <w:highlight w:val="none"/>
                <w:lang w:val="en-US" w:eastAsia="zh-CN"/>
              </w:rPr>
              <w:t>2、</w:t>
            </w:r>
            <w:r>
              <w:rPr>
                <w:rFonts w:hint="eastAsia"/>
                <w:b/>
                <w:bCs/>
                <w:color w:val="auto"/>
                <w:sz w:val="24"/>
                <w:szCs w:val="32"/>
                <w:highlight w:val="none"/>
              </w:rPr>
              <w:t>措施项目费总额</w:t>
            </w:r>
            <w:r>
              <w:rPr>
                <w:rFonts w:hint="eastAsia"/>
                <w:b/>
                <w:bCs/>
                <w:color w:val="auto"/>
                <w:sz w:val="24"/>
                <w:szCs w:val="32"/>
                <w:highlight w:val="none"/>
                <w:lang w:val="en-US" w:eastAsia="zh-CN"/>
              </w:rPr>
              <w:t>(含安全文明施工费)</w:t>
            </w:r>
            <w:r>
              <w:rPr>
                <w:rFonts w:hint="eastAsia"/>
                <w:b/>
                <w:bCs/>
                <w:color w:val="auto"/>
                <w:sz w:val="24"/>
                <w:szCs w:val="32"/>
                <w:highlight w:val="none"/>
              </w:rPr>
              <w:t>：</w:t>
            </w:r>
            <w:r>
              <w:rPr>
                <w:rFonts w:hint="eastAsia"/>
                <w:color w:val="auto"/>
                <w:sz w:val="24"/>
                <w:szCs w:val="32"/>
                <w:highlight w:val="none"/>
                <w:u w:val="single"/>
              </w:rPr>
              <w:t>8786626.58</w:t>
            </w:r>
            <w:r>
              <w:rPr>
                <w:rFonts w:hint="eastAsia"/>
                <w:color w:val="auto"/>
                <w:sz w:val="24"/>
                <w:szCs w:val="32"/>
                <w:highlight w:val="none"/>
              </w:rPr>
              <w:t>元</w:t>
            </w:r>
          </w:p>
          <w:p>
            <w:pPr>
              <w:spacing w:line="360" w:lineRule="auto"/>
              <w:ind w:firstLine="177" w:firstLineChars="74"/>
              <w:rPr>
                <w:rFonts w:hint="eastAsia"/>
                <w:color w:val="auto"/>
                <w:sz w:val="24"/>
                <w:szCs w:val="32"/>
                <w:highlight w:val="none"/>
              </w:rPr>
            </w:pPr>
            <w:r>
              <w:rPr>
                <w:rFonts w:hint="eastAsia"/>
                <w:color w:val="auto"/>
                <w:sz w:val="24"/>
                <w:szCs w:val="32"/>
                <w:highlight w:val="none"/>
                <w:lang w:val="en-US" w:eastAsia="zh-CN"/>
              </w:rPr>
              <w:t>3、</w:t>
            </w:r>
            <w:r>
              <w:rPr>
                <w:rFonts w:hint="eastAsia"/>
                <w:b/>
                <w:bCs/>
                <w:color w:val="auto"/>
                <w:sz w:val="24"/>
                <w:szCs w:val="32"/>
                <w:highlight w:val="none"/>
                <w:lang w:eastAsia="zh-CN"/>
              </w:rPr>
              <w:t>其他费用</w:t>
            </w:r>
            <w:r>
              <w:rPr>
                <w:rFonts w:hint="eastAsia"/>
                <w:b/>
                <w:bCs/>
                <w:color w:val="auto"/>
                <w:sz w:val="24"/>
                <w:szCs w:val="32"/>
                <w:highlight w:val="none"/>
              </w:rPr>
              <w:t>总额</w:t>
            </w:r>
            <w:r>
              <w:rPr>
                <w:rFonts w:hint="eastAsia"/>
                <w:b/>
                <w:bCs/>
                <w:color w:val="auto"/>
                <w:sz w:val="24"/>
                <w:szCs w:val="32"/>
                <w:highlight w:val="none"/>
                <w:lang w:eastAsia="zh-CN"/>
              </w:rPr>
              <w:t>（专业暂估价）</w:t>
            </w:r>
            <w:r>
              <w:rPr>
                <w:rFonts w:hint="eastAsia"/>
                <w:color w:val="auto"/>
                <w:sz w:val="24"/>
                <w:szCs w:val="32"/>
                <w:highlight w:val="none"/>
              </w:rPr>
              <w:t>：</w:t>
            </w:r>
            <w:r>
              <w:rPr>
                <w:rFonts w:hint="eastAsia"/>
                <w:color w:val="auto"/>
                <w:sz w:val="24"/>
                <w:szCs w:val="32"/>
                <w:highlight w:val="none"/>
                <w:u w:val="single"/>
              </w:rPr>
              <w:t>2328031.56</w:t>
            </w:r>
            <w:r>
              <w:rPr>
                <w:rFonts w:hint="eastAsia"/>
                <w:color w:val="auto"/>
                <w:sz w:val="24"/>
                <w:szCs w:val="32"/>
                <w:highlight w:val="none"/>
              </w:rPr>
              <w:t>元</w:t>
            </w:r>
          </w:p>
          <w:p>
            <w:pPr>
              <w:spacing w:line="360" w:lineRule="auto"/>
              <w:ind w:firstLine="177" w:firstLineChars="74"/>
              <w:rPr>
                <w:rFonts w:hint="eastAsia"/>
                <w:color w:val="auto"/>
                <w:sz w:val="24"/>
                <w:szCs w:val="32"/>
                <w:highlight w:val="none"/>
              </w:rPr>
            </w:pPr>
            <w:r>
              <w:rPr>
                <w:rFonts w:hint="eastAsia"/>
                <w:color w:val="auto"/>
                <w:sz w:val="24"/>
                <w:szCs w:val="32"/>
                <w:highlight w:val="none"/>
                <w:lang w:val="en-US" w:eastAsia="zh-CN"/>
              </w:rPr>
              <w:t>4、</w:t>
            </w:r>
            <w:r>
              <w:rPr>
                <w:rFonts w:hint="eastAsia"/>
                <w:b/>
                <w:bCs/>
                <w:color w:val="auto"/>
                <w:sz w:val="24"/>
                <w:szCs w:val="32"/>
                <w:highlight w:val="none"/>
              </w:rPr>
              <w:t>规费总额</w:t>
            </w:r>
            <w:r>
              <w:rPr>
                <w:rFonts w:hint="eastAsia"/>
                <w:color w:val="auto"/>
                <w:sz w:val="24"/>
                <w:szCs w:val="32"/>
                <w:highlight w:val="none"/>
              </w:rPr>
              <w:t>：</w:t>
            </w:r>
            <w:r>
              <w:rPr>
                <w:rFonts w:hint="eastAsia"/>
                <w:color w:val="auto"/>
                <w:sz w:val="24"/>
                <w:szCs w:val="32"/>
                <w:highlight w:val="none"/>
                <w:u w:val="single"/>
              </w:rPr>
              <w:t>2370489.05</w:t>
            </w:r>
            <w:r>
              <w:rPr>
                <w:rFonts w:hint="eastAsia"/>
                <w:color w:val="auto"/>
                <w:sz w:val="24"/>
                <w:szCs w:val="32"/>
                <w:highlight w:val="none"/>
              </w:rPr>
              <w:t>元</w:t>
            </w:r>
          </w:p>
          <w:p>
            <w:pPr>
              <w:spacing w:line="360" w:lineRule="auto"/>
              <w:ind w:firstLine="177" w:firstLineChars="74"/>
              <w:rPr>
                <w:rFonts w:hint="eastAsia"/>
                <w:color w:val="auto"/>
                <w:sz w:val="24"/>
                <w:szCs w:val="32"/>
                <w:highlight w:val="none"/>
              </w:rPr>
            </w:pPr>
            <w:r>
              <w:rPr>
                <w:rFonts w:hint="eastAsia"/>
                <w:color w:val="auto"/>
                <w:sz w:val="24"/>
                <w:szCs w:val="32"/>
                <w:highlight w:val="none"/>
                <w:lang w:val="en-US" w:eastAsia="zh-CN"/>
              </w:rPr>
              <w:t>5、</w:t>
            </w:r>
            <w:r>
              <w:rPr>
                <w:rFonts w:hint="eastAsia"/>
                <w:b/>
                <w:bCs/>
                <w:color w:val="auto"/>
                <w:sz w:val="24"/>
                <w:szCs w:val="32"/>
                <w:highlight w:val="none"/>
              </w:rPr>
              <w:t>税金总额</w:t>
            </w:r>
            <w:r>
              <w:rPr>
                <w:rFonts w:hint="eastAsia"/>
                <w:color w:val="auto"/>
                <w:sz w:val="24"/>
                <w:szCs w:val="32"/>
                <w:highlight w:val="none"/>
              </w:rPr>
              <w:t>：</w:t>
            </w:r>
            <w:r>
              <w:rPr>
                <w:rFonts w:hint="eastAsia"/>
                <w:color w:val="auto"/>
                <w:sz w:val="24"/>
                <w:szCs w:val="32"/>
                <w:highlight w:val="none"/>
                <w:u w:val="single"/>
              </w:rPr>
              <w:t>11010775.01</w:t>
            </w:r>
            <w:r>
              <w:rPr>
                <w:rFonts w:hint="eastAsia"/>
                <w:color w:val="auto"/>
                <w:sz w:val="24"/>
                <w:szCs w:val="32"/>
                <w:highlight w:val="none"/>
              </w:rPr>
              <w:t>元</w:t>
            </w:r>
          </w:p>
          <w:p>
            <w:pPr>
              <w:spacing w:line="360" w:lineRule="auto"/>
              <w:ind w:firstLine="177" w:firstLineChars="74"/>
              <w:rPr>
                <w:rFonts w:hint="eastAsia" w:ascii="宋体" w:cs="宋体"/>
                <w:color w:val="auto"/>
                <w:szCs w:val="21"/>
                <w:highlight w:val="none"/>
                <w:lang w:bidi="ar-SA"/>
              </w:rPr>
            </w:pPr>
            <w:r>
              <w:rPr>
                <w:rFonts w:hint="eastAsia"/>
                <w:color w:val="auto"/>
                <w:sz w:val="24"/>
                <w:szCs w:val="32"/>
                <w:highlight w:val="none"/>
                <w:lang w:val="en-US" w:eastAsia="zh-CN"/>
              </w:rPr>
              <w:t>6、</w:t>
            </w:r>
            <w:r>
              <w:rPr>
                <w:rFonts w:hint="eastAsia"/>
                <w:b/>
                <w:bCs/>
                <w:color w:val="auto"/>
                <w:sz w:val="24"/>
                <w:szCs w:val="32"/>
                <w:highlight w:val="none"/>
                <w:lang w:eastAsia="zh-CN"/>
              </w:rPr>
              <w:t>安</w:t>
            </w:r>
            <w:r>
              <w:rPr>
                <w:rFonts w:hint="eastAsia"/>
                <w:b/>
                <w:bCs/>
                <w:color w:val="auto"/>
                <w:sz w:val="24"/>
                <w:szCs w:val="32"/>
                <w:highlight w:val="none"/>
              </w:rPr>
              <w:t>全文明施工费：</w:t>
            </w:r>
            <w:r>
              <w:rPr>
                <w:rFonts w:hint="default"/>
                <w:color w:val="auto"/>
                <w:sz w:val="24"/>
                <w:szCs w:val="32"/>
                <w:highlight w:val="none"/>
                <w:u w:val="single"/>
                <w:lang w:val="en-US" w:eastAsia="zh-CN"/>
              </w:rPr>
              <w:t>4075782.34</w:t>
            </w:r>
            <w:r>
              <w:rPr>
                <w:rFonts w:hint="eastAsia"/>
                <w:color w:val="auto"/>
                <w:sz w:val="24"/>
                <w:szCs w:val="32"/>
                <w:highlight w:val="none"/>
                <w:lang w:val="en-US" w:eastAsia="zh-CN"/>
              </w:rPr>
              <w:t>元</w:t>
            </w:r>
          </w:p>
          <w:p>
            <w:pPr>
              <w:autoSpaceDE w:val="0"/>
              <w:autoSpaceDN w:val="0"/>
              <w:adjustRightInd w:val="0"/>
              <w:spacing w:before="50" w:line="360" w:lineRule="auto"/>
              <w:ind w:right="35" w:firstLine="211" w:firstLineChars="100"/>
              <w:rPr>
                <w:rFonts w:hint="eastAsia" w:ascii="宋体" w:cs="宋体"/>
                <w:color w:val="auto"/>
                <w:szCs w:val="21"/>
                <w:highlight w:val="none"/>
                <w:lang w:bidi="ar-SA"/>
              </w:rPr>
            </w:pPr>
            <w:r>
              <w:rPr>
                <w:rFonts w:hint="eastAsia" w:ascii="宋体" w:cs="宋体"/>
                <w:b/>
                <w:bCs/>
                <w:color w:val="auto"/>
                <w:szCs w:val="21"/>
                <w:highlight w:val="none"/>
                <w:lang w:bidi="ar-SA"/>
              </w:rPr>
              <w:t>注：</w:t>
            </w:r>
            <w:r>
              <w:rPr>
                <w:rFonts w:hint="eastAsia" w:ascii="宋体" w:cs="宋体"/>
                <w:color w:val="auto"/>
                <w:szCs w:val="21"/>
                <w:highlight w:val="none"/>
                <w:lang w:bidi="ar-SA"/>
              </w:rPr>
              <w:t>各投标人投标总报价不得超过招标控制价，否则视为无效投标。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2" w:hRule="atLeast"/>
        </w:trPr>
        <w:tc>
          <w:tcPr>
            <w:tcW w:w="819" w:type="dxa"/>
            <w:tcBorders>
              <w:tl2br w:val="nil"/>
              <w:tr2bl w:val="nil"/>
            </w:tcBorders>
            <w:vAlign w:val="center"/>
          </w:tcPr>
          <w:p>
            <w:pPr>
              <w:rPr>
                <w:color w:val="auto"/>
                <w:highlight w:val="none"/>
              </w:rPr>
            </w:pPr>
          </w:p>
        </w:tc>
        <w:tc>
          <w:tcPr>
            <w:tcW w:w="8960" w:type="dxa"/>
            <w:gridSpan w:val="2"/>
            <w:tcBorders>
              <w:tl2br w:val="nil"/>
              <w:tr2bl w:val="nil"/>
            </w:tcBorders>
            <w:vAlign w:val="center"/>
          </w:tcPr>
          <w:tbl>
            <w:tblPr>
              <w:tblStyle w:val="19"/>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0"/>
              <w:gridCol w:w="1046"/>
              <w:gridCol w:w="906"/>
              <w:gridCol w:w="1173"/>
              <w:gridCol w:w="1068"/>
              <w:gridCol w:w="1025"/>
              <w:gridCol w:w="1050"/>
              <w:gridCol w:w="978"/>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460" w:type="dxa"/>
                  <w:shd w:val="clear" w:color="auto" w:fill="auto"/>
                  <w:vAlign w:val="bottom"/>
                </w:tcPr>
                <w:p>
                  <w:pPr>
                    <w:keepNext w:val="0"/>
                    <w:keepLines w:val="0"/>
                    <w:widowControl/>
                    <w:suppressLineNumbers w:val="0"/>
                    <w:jc w:val="left"/>
                    <w:textAlignment w:val="bottom"/>
                    <w:rPr>
                      <w:rFonts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序号</w:t>
                  </w:r>
                </w:p>
              </w:tc>
              <w:tc>
                <w:tcPr>
                  <w:tcW w:w="1046" w:type="dxa"/>
                  <w:shd w:val="clear" w:color="auto" w:fill="auto"/>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名称</w:t>
                  </w:r>
                </w:p>
              </w:tc>
              <w:tc>
                <w:tcPr>
                  <w:tcW w:w="906" w:type="dxa"/>
                  <w:shd w:val="clear" w:color="auto" w:fill="auto"/>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金额</w:t>
                  </w:r>
                </w:p>
              </w:tc>
              <w:tc>
                <w:tcPr>
                  <w:tcW w:w="1173" w:type="dxa"/>
                  <w:shd w:val="clear" w:color="auto" w:fill="auto"/>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分部分项工程费</w:t>
                  </w:r>
                </w:p>
              </w:tc>
              <w:tc>
                <w:tcPr>
                  <w:tcW w:w="1068" w:type="dxa"/>
                  <w:shd w:val="clear" w:color="auto" w:fill="auto"/>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措施项目费（含安全文明施工费）</w:t>
                  </w:r>
                </w:p>
              </w:tc>
              <w:tc>
                <w:tcPr>
                  <w:tcW w:w="1025" w:type="dxa"/>
                  <w:shd w:val="clear" w:color="auto" w:fill="auto"/>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其他项目费</w:t>
                  </w:r>
                  <w:r>
                    <w:rPr>
                      <w:rFonts w:hint="eastAsia" w:ascii="等线" w:hAnsi="等线" w:eastAsia="等线" w:cs="等线"/>
                      <w:i w:val="0"/>
                      <w:iCs w:val="0"/>
                      <w:color w:val="000000"/>
                      <w:kern w:val="0"/>
                      <w:sz w:val="15"/>
                      <w:szCs w:val="15"/>
                      <w:u w:val="none"/>
                      <w:lang w:val="en-US" w:eastAsia="zh-CN" w:bidi="ar"/>
                    </w:rPr>
                    <w:t>（专业暂估价）</w:t>
                  </w:r>
                </w:p>
              </w:tc>
              <w:tc>
                <w:tcPr>
                  <w:tcW w:w="1050" w:type="dxa"/>
                  <w:shd w:val="clear" w:color="auto" w:fill="auto"/>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规费</w:t>
                  </w:r>
                </w:p>
              </w:tc>
              <w:tc>
                <w:tcPr>
                  <w:tcW w:w="978" w:type="dxa"/>
                  <w:shd w:val="clear" w:color="auto" w:fill="auto"/>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eastAsia" w:ascii="等线" w:hAnsi="等线" w:eastAsia="等线" w:cs="等线"/>
                      <w:i w:val="0"/>
                      <w:iCs w:val="0"/>
                      <w:color w:val="000000"/>
                      <w:kern w:val="0"/>
                      <w:sz w:val="15"/>
                      <w:szCs w:val="15"/>
                      <w:u w:val="none"/>
                      <w:lang w:val="en-US" w:eastAsia="zh-CN" w:bidi="ar"/>
                    </w:rPr>
                    <w:t>税金</w:t>
                  </w:r>
                </w:p>
              </w:tc>
              <w:tc>
                <w:tcPr>
                  <w:tcW w:w="930" w:type="dxa"/>
                  <w:shd w:val="clear" w:color="auto" w:fill="auto"/>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安全文明施工费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24" w:hRule="atLeast"/>
                <w:jc w:val="center"/>
              </w:trPr>
              <w:tc>
                <w:tcPr>
                  <w:tcW w:w="460" w:type="dxa"/>
                  <w:shd w:val="clear" w:color="auto" w:fill="auto"/>
                  <w:noWrap/>
                  <w:vAlign w:val="bottom"/>
                </w:tcPr>
                <w:p>
                  <w:pPr>
                    <w:keepNext w:val="0"/>
                    <w:keepLines w:val="0"/>
                    <w:widowControl/>
                    <w:suppressLineNumbers w:val="0"/>
                    <w:jc w:val="right"/>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w:t>
                  </w:r>
                </w:p>
              </w:tc>
              <w:tc>
                <w:tcPr>
                  <w:tcW w:w="1046"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站务综合楼</w:t>
                  </w:r>
                </w:p>
              </w:tc>
              <w:tc>
                <w:tcPr>
                  <w:tcW w:w="906"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53006098.67</w:t>
                  </w:r>
                </w:p>
              </w:tc>
              <w:tc>
                <w:tcPr>
                  <w:tcW w:w="1173"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41578572.26</w:t>
                  </w:r>
                </w:p>
              </w:tc>
              <w:tc>
                <w:tcPr>
                  <w:tcW w:w="1068"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5925597.77</w:t>
                  </w:r>
                </w:p>
              </w:tc>
              <w:tc>
                <w:tcPr>
                  <w:tcW w:w="1025"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1125278.28</w:t>
                  </w:r>
                </w:p>
              </w:tc>
              <w:tc>
                <w:tcPr>
                  <w:tcW w:w="978"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4376650.36</w:t>
                  </w:r>
                </w:p>
              </w:tc>
              <w:tc>
                <w:tcPr>
                  <w:tcW w:w="930" w:type="dxa"/>
                  <w:shd w:val="clear" w:color="auto" w:fill="auto"/>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899391.29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8" w:hRule="atLeast"/>
                <w:jc w:val="center"/>
              </w:trPr>
              <w:tc>
                <w:tcPr>
                  <w:tcW w:w="460" w:type="dxa"/>
                  <w:shd w:val="clear" w:color="auto" w:fill="auto"/>
                  <w:noWrap/>
                  <w:vAlign w:val="bottom"/>
                </w:tcPr>
                <w:p>
                  <w:pPr>
                    <w:keepNext w:val="0"/>
                    <w:keepLines w:val="0"/>
                    <w:widowControl/>
                    <w:suppressLineNumbers w:val="0"/>
                    <w:jc w:val="right"/>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1.1</w:t>
                  </w:r>
                </w:p>
              </w:tc>
              <w:tc>
                <w:tcPr>
                  <w:tcW w:w="1046"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站务综合楼-建筑工程</w:t>
                  </w:r>
                </w:p>
              </w:tc>
              <w:tc>
                <w:tcPr>
                  <w:tcW w:w="906"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29010746.05</w:t>
                  </w:r>
                </w:p>
              </w:tc>
              <w:tc>
                <w:tcPr>
                  <w:tcW w:w="1173"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20955919.31</w:t>
                  </w:r>
                </w:p>
              </w:tc>
              <w:tc>
                <w:tcPr>
                  <w:tcW w:w="1068"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5056909.48</w:t>
                  </w:r>
                </w:p>
              </w:tc>
              <w:tc>
                <w:tcPr>
                  <w:tcW w:w="1025"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602534.56</w:t>
                  </w:r>
                </w:p>
              </w:tc>
              <w:tc>
                <w:tcPr>
                  <w:tcW w:w="978"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2395382.70</w:t>
                  </w:r>
                </w:p>
              </w:tc>
              <w:tc>
                <w:tcPr>
                  <w:tcW w:w="930" w:type="dxa"/>
                  <w:shd w:val="clear" w:color="auto" w:fill="auto"/>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486114.81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0" w:hRule="atLeast"/>
                <w:jc w:val="center"/>
              </w:trPr>
              <w:tc>
                <w:tcPr>
                  <w:tcW w:w="460" w:type="dxa"/>
                  <w:shd w:val="clear" w:color="auto" w:fill="auto"/>
                  <w:noWrap/>
                  <w:vAlign w:val="bottom"/>
                </w:tcPr>
                <w:p>
                  <w:pPr>
                    <w:keepNext w:val="0"/>
                    <w:keepLines w:val="0"/>
                    <w:widowControl/>
                    <w:suppressLineNumbers w:val="0"/>
                    <w:jc w:val="right"/>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1.2</w:t>
                  </w:r>
                </w:p>
              </w:tc>
              <w:tc>
                <w:tcPr>
                  <w:tcW w:w="1046"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站务综合楼-装饰工程</w:t>
                  </w:r>
                </w:p>
              </w:tc>
              <w:tc>
                <w:tcPr>
                  <w:tcW w:w="906"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13785129.52</w:t>
                  </w:r>
                </w:p>
              </w:tc>
              <w:tc>
                <w:tcPr>
                  <w:tcW w:w="1173"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11844162.26</w:t>
                  </w:r>
                </w:p>
              </w:tc>
              <w:tc>
                <w:tcPr>
                  <w:tcW w:w="1068"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502323.40</w:t>
                  </w:r>
                </w:p>
              </w:tc>
              <w:tc>
                <w:tcPr>
                  <w:tcW w:w="1025"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300422.16</w:t>
                  </w:r>
                </w:p>
              </w:tc>
              <w:tc>
                <w:tcPr>
                  <w:tcW w:w="978"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1138221.70</w:t>
                  </w:r>
                </w:p>
              </w:tc>
              <w:tc>
                <w:tcPr>
                  <w:tcW w:w="930"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242264.86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3" w:hRule="atLeast"/>
                <w:jc w:val="center"/>
              </w:trPr>
              <w:tc>
                <w:tcPr>
                  <w:tcW w:w="460" w:type="dxa"/>
                  <w:shd w:val="clear" w:color="auto" w:fill="auto"/>
                  <w:noWrap/>
                  <w:vAlign w:val="bottom"/>
                </w:tcPr>
                <w:p>
                  <w:pPr>
                    <w:keepNext w:val="0"/>
                    <w:keepLines w:val="0"/>
                    <w:widowControl/>
                    <w:suppressLineNumbers w:val="0"/>
                    <w:jc w:val="right"/>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1.3</w:t>
                  </w:r>
                </w:p>
              </w:tc>
              <w:tc>
                <w:tcPr>
                  <w:tcW w:w="1046"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站务综合楼-电气工程</w:t>
                  </w:r>
                </w:p>
              </w:tc>
              <w:tc>
                <w:tcPr>
                  <w:tcW w:w="906"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2818952.18</w:t>
                  </w:r>
                </w:p>
              </w:tc>
              <w:tc>
                <w:tcPr>
                  <w:tcW w:w="1173"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2490885.00</w:t>
                  </w:r>
                </w:p>
              </w:tc>
              <w:tc>
                <w:tcPr>
                  <w:tcW w:w="1068"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59313.61</w:t>
                  </w:r>
                </w:p>
              </w:tc>
              <w:tc>
                <w:tcPr>
                  <w:tcW w:w="1025"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35996.05</w:t>
                  </w:r>
                </w:p>
              </w:tc>
              <w:tc>
                <w:tcPr>
                  <w:tcW w:w="978"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232757.52</w:t>
                  </w:r>
                </w:p>
              </w:tc>
              <w:tc>
                <w:tcPr>
                  <w:tcW w:w="930"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27694.42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4" w:hRule="atLeast"/>
                <w:jc w:val="center"/>
              </w:trPr>
              <w:tc>
                <w:tcPr>
                  <w:tcW w:w="460" w:type="dxa"/>
                  <w:shd w:val="clear" w:color="auto" w:fill="auto"/>
                  <w:noWrap/>
                  <w:vAlign w:val="bottom"/>
                </w:tcPr>
                <w:p>
                  <w:pPr>
                    <w:keepNext w:val="0"/>
                    <w:keepLines w:val="0"/>
                    <w:widowControl/>
                    <w:suppressLineNumbers w:val="0"/>
                    <w:jc w:val="right"/>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1.4</w:t>
                  </w:r>
                </w:p>
              </w:tc>
              <w:tc>
                <w:tcPr>
                  <w:tcW w:w="1046"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站务综合楼-给排水工程</w:t>
                  </w:r>
                </w:p>
              </w:tc>
              <w:tc>
                <w:tcPr>
                  <w:tcW w:w="906"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996599.54</w:t>
                  </w:r>
                </w:p>
              </w:tc>
              <w:tc>
                <w:tcPr>
                  <w:tcW w:w="1173"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861018.09</w:t>
                  </w:r>
                </w:p>
              </w:tc>
              <w:tc>
                <w:tcPr>
                  <w:tcW w:w="1068"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32998.43</w:t>
                  </w:r>
                </w:p>
              </w:tc>
              <w:tc>
                <w:tcPr>
                  <w:tcW w:w="1025"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20294.98</w:t>
                  </w:r>
                </w:p>
              </w:tc>
              <w:tc>
                <w:tcPr>
                  <w:tcW w:w="978"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82288.04</w:t>
                  </w:r>
                </w:p>
              </w:tc>
              <w:tc>
                <w:tcPr>
                  <w:tcW w:w="930"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15611.36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6" w:hRule="atLeast"/>
                <w:jc w:val="center"/>
              </w:trPr>
              <w:tc>
                <w:tcPr>
                  <w:tcW w:w="460" w:type="dxa"/>
                  <w:shd w:val="clear" w:color="auto" w:fill="auto"/>
                  <w:noWrap/>
                  <w:vAlign w:val="bottom"/>
                </w:tcPr>
                <w:p>
                  <w:pPr>
                    <w:keepNext w:val="0"/>
                    <w:keepLines w:val="0"/>
                    <w:widowControl/>
                    <w:suppressLineNumbers w:val="0"/>
                    <w:jc w:val="right"/>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1.5</w:t>
                  </w:r>
                </w:p>
              </w:tc>
              <w:tc>
                <w:tcPr>
                  <w:tcW w:w="1046"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站务综合楼-暖通工程（不含空调主机设备）</w:t>
                  </w:r>
                </w:p>
              </w:tc>
              <w:tc>
                <w:tcPr>
                  <w:tcW w:w="906"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1820065.24</w:t>
                  </w:r>
                </w:p>
              </w:tc>
              <w:tc>
                <w:tcPr>
                  <w:tcW w:w="1173"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1512230.25</w:t>
                  </w:r>
                </w:p>
              </w:tc>
              <w:tc>
                <w:tcPr>
                  <w:tcW w:w="1068"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99754.13</w:t>
                  </w:r>
                </w:p>
              </w:tc>
              <w:tc>
                <w:tcPr>
                  <w:tcW w:w="1025"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57800.24</w:t>
                  </w:r>
                </w:p>
              </w:tc>
              <w:tc>
                <w:tcPr>
                  <w:tcW w:w="978"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150280.62</w:t>
                  </w:r>
                </w:p>
              </w:tc>
              <w:tc>
                <w:tcPr>
                  <w:tcW w:w="930"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44440.11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98" w:hRule="atLeast"/>
                <w:jc w:val="center"/>
              </w:trPr>
              <w:tc>
                <w:tcPr>
                  <w:tcW w:w="460" w:type="dxa"/>
                  <w:shd w:val="clear" w:color="auto" w:fill="auto"/>
                  <w:noWrap/>
                  <w:vAlign w:val="bottom"/>
                </w:tcPr>
                <w:p>
                  <w:pPr>
                    <w:keepNext w:val="0"/>
                    <w:keepLines w:val="0"/>
                    <w:widowControl/>
                    <w:suppressLineNumbers w:val="0"/>
                    <w:jc w:val="right"/>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1.6</w:t>
                  </w:r>
                </w:p>
              </w:tc>
              <w:tc>
                <w:tcPr>
                  <w:tcW w:w="1046"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站务综合楼-消防工程</w:t>
                  </w:r>
                </w:p>
              </w:tc>
              <w:tc>
                <w:tcPr>
                  <w:tcW w:w="906"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4157091.99</w:t>
                  </w:r>
                </w:p>
              </w:tc>
              <w:tc>
                <w:tcPr>
                  <w:tcW w:w="1173"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3531316.85</w:t>
                  </w:r>
                </w:p>
              </w:tc>
              <w:tc>
                <w:tcPr>
                  <w:tcW w:w="1068"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174298.72</w:t>
                  </w:r>
                </w:p>
              </w:tc>
              <w:tc>
                <w:tcPr>
                  <w:tcW w:w="1025"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108230.29</w:t>
                  </w:r>
                </w:p>
              </w:tc>
              <w:tc>
                <w:tcPr>
                  <w:tcW w:w="978"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343246.13</w:t>
                  </w:r>
                </w:p>
              </w:tc>
              <w:tc>
                <w:tcPr>
                  <w:tcW w:w="930" w:type="dxa"/>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83265.73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1.7</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站务综合楼-抗震支架工程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417514.15</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383040.50</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34473.65</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6"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维修车库</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3751383.52</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2900589.01</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461722.44</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79324.80</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309747.27</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63745.79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2.1</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维修车库-建筑工程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2647910.80</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1949482.62</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427705.47</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52087.87</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218634.84</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val="0"/>
                    <w:spacing w:line="240"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42009.8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2.2</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维修车库-装饰工程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808833.39</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696388.32</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24690.57</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20970.09</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66784.41</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16911.05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2.3</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维修车库-电气工程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143392.38</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122545.29</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5401.33</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3606.02</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11839.74</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2776.85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2.4</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维修车库-给排水工程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35962.26</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30739.06</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1347.90</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905.94</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2969.36</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698.01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2.5</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维修车库-暖通工程（不含空调主机设备）</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451.90</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397.04</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10.33</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7.22</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37.31</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2.6</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维修车库-消防工程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77058.84</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66381.68</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2566.84</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1747.66</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6362.66</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1344.52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2.7</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维修车库-抗震支架工程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37773.95</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34655.00</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3118.95</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车辆维护中心</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12366953.20</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10674300.94</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437305.70</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234221.99</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1021124.57</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191089.68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09"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3.1</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1#仓库 土建工程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5009101.92</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4343149.31</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156790.97</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95566.07</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413595.57</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78563.39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3.2</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2#仓库 土建工程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1965637.23</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1693922.32</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71500.83</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37913.76</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162300.32</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31027.55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3.3</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3#仓库 土建工程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4676309.75</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4013710.93</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189104.61</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87376.89</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386117.32</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71218.69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3.4</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1#仓库 安装工程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198562.20</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170850.44</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6784.22</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4532.50</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16395.04</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3483.27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3.5</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2#仓库 安装工程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97972.75</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84379.87</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3297.51</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2205.88</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8089.49</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1700.31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3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3.6</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3#仓库 安装工程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269475.00</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230770.32</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9827.56</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6626.89</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22250.23</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5096.47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3.7</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车辆维护中心-抗震支架工程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149894.35</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137517.75</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12376.60</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6"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机动车库 1#</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6402101.84</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5314970.69</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446029.42</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112487.82</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528613.91</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89987.18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4.1</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机动车库 1#-建筑工程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4778235.88</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3928571.08</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375591.21</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79540.35</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394533.24</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64195.99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4.2</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机动车库 1#-装饰工程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500653.51</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407853.64</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39686.09</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11775.42</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41338.36</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9496.78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4.3</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机动车库 1#-电气工程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89567.70</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77971.90</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2506.05</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1694.25</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7395.50</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1301.67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6"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4.4</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机动车库 1#-给排水工程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44391.82</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37964.04</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1585.67</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1176.73</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3665.38</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904.55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4.5</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机动车库 1#-消防工程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290576.08</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243246.45</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13886.57</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9450.54</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23992.52</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7284.33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4.6</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机动车库 1#-人防工程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672946.04</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595757.33</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12773.83</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8850.53</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55564.35</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6803.86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4.7</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机动车库 1#-抗震支架工程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25730.81</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23606.25</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2124.56</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6"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非机动车库 2#</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6082121.24</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5005767.67</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456501.94</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117658.13</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502193.50</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94181.49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5.1</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非机动车库 2#-建筑工程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4532706.15</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3689554.22</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385057.17</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83834.62</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374260.14</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67674.13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5.2</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非机动车库 2#-装饰工程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445652.67</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355607.81</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40642.61</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12605.24</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36797.01</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10166.1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5.3</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非机动车库 2#-电气工程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93546.45</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81692.74</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2463.67</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1666.02</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7724.02</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1279.96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6"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5.4</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非机动车库 2#-给排水工程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55477.07</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47490.42</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1954.04</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1451.93</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4580.68</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1116.04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5.5</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非机动车库 2#-消防工程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317564.26</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266729.25</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14605.16</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10008.95</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26220.90</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7725.08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5.6</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非机动车库 2#-人防工程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612518.84</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542073.23</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11779.29</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8091.37</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50574.95</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19"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5.7</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非机动车库 2#-抗震支架工程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24655.80</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22620.00</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2035.80</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6"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安检用房</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114649.35</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88759.06</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13947.69</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2476.14</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9466.46</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1989.59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93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6.1</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安检用房-建筑工程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88776.23</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66379.03</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13188.67</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1878.38</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7330.15</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1514.95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6.2</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安检用房-装饰工程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18384.19</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15999.09</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468.91</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398.23</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1517.96</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6.3</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安检用房-电气工程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6774.12</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5788.11</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252.34</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174.34</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559.33</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134.12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6.4</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安检用房-给排水工程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714.81</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592.83</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37.77</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25.19</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59.02</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6"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公厕</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275440.41</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219783.59</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26865.91</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6048.12</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22742.79</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4842.79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7.1</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公厕-建筑工程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168243.42</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127390.98</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23514.37</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3446.41</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13891.66</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2779.56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7.2</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公厕-装饰工程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71083.73</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61676.92</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1912.93</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1624.58</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5869.30</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1310.17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7.3</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公厕-电气工程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8994.83</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7623.63</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373.37</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255.14</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742.69</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196.15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7.4</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公厕-给排水工程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25675.06</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21886.70</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995.35</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673.05</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2119.96</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519.29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99"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7.5</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公厕-暖通工程（不含空调主机设备）</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1443.37</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1205.36</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69.89</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48.94</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119.18</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6"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门卫房（共7间）</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973368.42</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725364.10</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99537.42</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45871.56</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22225.47</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80369.87</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17849.96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8.1</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门卫房-建筑工程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634589.09</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479195.23</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89119.00</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13877.60</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52397.26</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11192.41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8.2</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门卫房-装饰工程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219332.91</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188411.89</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6927.51</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5883.45</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18110.06</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4744.78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4"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8.3</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门卫房（1~4#）-电气工程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45811.87</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38049.52</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2327.84</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1651.88</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3782.63</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1283.55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8.4</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门卫房（5#）-电气工程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8683.11</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7299.73</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392.26</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274.17</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716.95</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8.5</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门卫房（6#）-电气工程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11294.54</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9364.21</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583.97</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413.78</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932.58</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321.43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1"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8.6</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门卫房（1~6#）-给排水工程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3656.90</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3043.52</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186.84</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124.59</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301.95</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8.7</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成品门卫房</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50000.00</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45871.56</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4128.44</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44"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室外工程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50380602.66</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42348689.79</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919118.29</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2282160.00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670768.30</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4159866.28</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674813.4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9.1</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室外工程 土建</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39575485.15</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32847837.95</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706176.05</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2282160.00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471610.54</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3267700.61</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513320.8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9.2</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室外工程 安装</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7126111.86</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6277544.49</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153376.92</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106795.89</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588394.56</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snapToGrid/>
                    <w:spacing w:line="15" w:lineRule="auto"/>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113748.52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8" w:hRule="atLeast"/>
                <w:jc w:val="center"/>
              </w:trPr>
              <w:tc>
                <w:tcPr>
                  <w:tcW w:w="46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right"/>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9.3</w:t>
                  </w: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绿化工程</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3679005.65</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3223307.35</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59565.32</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0.00</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92361.87</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303771.11</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47744.08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9" w:hRule="atLeast"/>
                <w:jc w:val="center"/>
              </w:trPr>
              <w:tc>
                <w:tcPr>
                  <w:tcW w:w="460" w:type="dxa"/>
                  <w:shd w:val="clear" w:color="auto" w:fill="auto"/>
                  <w:noWrap/>
                  <w:vAlign w:val="bottom"/>
                </w:tcPr>
                <w:p>
                  <w:pPr>
                    <w:keepNext w:val="0"/>
                    <w:keepLines w:val="0"/>
                    <w:pageBreakBefore w:val="0"/>
                    <w:kinsoku/>
                    <w:wordWrap/>
                    <w:overflowPunct/>
                    <w:topLinePunct/>
                    <w:autoSpaceDE/>
                    <w:autoSpaceDN/>
                    <w:bidi w:val="0"/>
                    <w:adjustRightInd/>
                    <w:textAlignment w:val="center"/>
                    <w:rPr>
                      <w:rFonts w:hint="default" w:ascii="等线" w:hAnsi="等线" w:eastAsia="等线" w:cs="等线"/>
                      <w:i w:val="0"/>
                      <w:iCs w:val="0"/>
                      <w:color w:val="000000"/>
                      <w:sz w:val="15"/>
                      <w:szCs w:val="15"/>
                      <w:u w:val="none"/>
                    </w:rPr>
                  </w:pPr>
                </w:p>
              </w:tc>
              <w:tc>
                <w:tcPr>
                  <w:tcW w:w="104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合计</w:t>
                  </w:r>
                </w:p>
              </w:tc>
              <w:tc>
                <w:tcPr>
                  <w:tcW w:w="906"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133352719.31</w:t>
                  </w:r>
                </w:p>
              </w:tc>
              <w:tc>
                <w:tcPr>
                  <w:tcW w:w="1173"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108856797.11</w:t>
                  </w:r>
                </w:p>
              </w:tc>
              <w:tc>
                <w:tcPr>
                  <w:tcW w:w="106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8786626.58</w:t>
                  </w:r>
                </w:p>
              </w:tc>
              <w:tc>
                <w:tcPr>
                  <w:tcW w:w="1025"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2328031.56</w:t>
                  </w:r>
                </w:p>
              </w:tc>
              <w:tc>
                <w:tcPr>
                  <w:tcW w:w="105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2370489.05</w:t>
                  </w:r>
                </w:p>
              </w:tc>
              <w:tc>
                <w:tcPr>
                  <w:tcW w:w="978"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11010775.01</w:t>
                  </w:r>
                </w:p>
              </w:tc>
              <w:tc>
                <w:tcPr>
                  <w:tcW w:w="930" w:type="dxa"/>
                  <w:shd w:val="clear" w:color="auto" w:fill="auto"/>
                  <w:noWrap/>
                  <w:vAlign w:val="bottom"/>
                </w:tcPr>
                <w:p>
                  <w:pPr>
                    <w:keepNext w:val="0"/>
                    <w:keepLines w:val="0"/>
                    <w:pageBreakBefore w:val="0"/>
                    <w:widowControl/>
                    <w:suppressLineNumbers w:val="0"/>
                    <w:kinsoku/>
                    <w:wordWrap/>
                    <w:overflowPunct/>
                    <w:topLinePunct/>
                    <w:autoSpaceDE/>
                    <w:autoSpaceDN/>
                    <w:bidi w:val="0"/>
                    <w:adjustRightInd/>
                    <w:jc w:val="center"/>
                    <w:textAlignment w:val="center"/>
                    <w:rPr>
                      <w:rFonts w:hint="default" w:ascii="等线" w:hAnsi="等线" w:eastAsia="等线" w:cs="等线"/>
                      <w:i w:val="0"/>
                      <w:iCs w:val="0"/>
                      <w:color w:val="000000"/>
                      <w:sz w:val="15"/>
                      <w:szCs w:val="15"/>
                      <w:u w:val="none"/>
                    </w:rPr>
                  </w:pPr>
                  <w:r>
                    <w:rPr>
                      <w:rFonts w:hint="default" w:ascii="等线" w:hAnsi="等线" w:eastAsia="等线" w:cs="等线"/>
                      <w:i w:val="0"/>
                      <w:iCs w:val="0"/>
                      <w:color w:val="000000"/>
                      <w:kern w:val="0"/>
                      <w:sz w:val="15"/>
                      <w:szCs w:val="15"/>
                      <w:u w:val="none"/>
                      <w:lang w:val="en-US" w:eastAsia="zh-CN" w:bidi="ar"/>
                    </w:rPr>
                    <w:t>2037891.17</w:t>
                  </w:r>
                </w:p>
              </w:tc>
            </w:tr>
          </w:tbl>
          <w:p>
            <w:pPr>
              <w:autoSpaceDE w:val="0"/>
              <w:autoSpaceDN w:val="0"/>
              <w:adjustRightInd w:val="0"/>
              <w:spacing w:before="50" w:line="420" w:lineRule="exact"/>
              <w:ind w:right="35"/>
              <w:rPr>
                <w:rFonts w:hint="eastAsia" w:ascii="宋体" w:cs="宋体"/>
                <w:color w:val="auto"/>
                <w:szCs w:val="21"/>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9779" w:type="dxa"/>
            <w:gridSpan w:val="3"/>
            <w:tcBorders>
              <w:tl2br w:val="nil"/>
              <w:tr2bl w:val="nil"/>
            </w:tcBorders>
            <w:vAlign w:val="center"/>
          </w:tcPr>
          <w:p>
            <w:pPr>
              <w:autoSpaceDE w:val="0"/>
              <w:autoSpaceDN w:val="0"/>
              <w:adjustRightInd w:val="0"/>
              <w:spacing w:before="50" w:line="420" w:lineRule="exact"/>
              <w:ind w:right="35"/>
              <w:rPr>
                <w:rFonts w:hint="eastAsia" w:ascii="宋体" w:cs="宋体"/>
                <w:color w:val="auto"/>
                <w:szCs w:val="21"/>
                <w:highlight w:val="none"/>
                <w:lang w:bidi="ar-SA"/>
              </w:rPr>
            </w:pPr>
            <w:r>
              <w:rPr>
                <w:rFonts w:hint="eastAsia"/>
                <w:color w:val="000000" w:themeColor="text1"/>
                <w:highlight w:val="none"/>
                <w14:textFill>
                  <w14:solidFill>
                    <w14:schemeClr w14:val="tx1"/>
                  </w14:solidFill>
                </w14:textFill>
              </w:rPr>
              <w:t>10.</w:t>
            </w:r>
            <w:r>
              <w:rPr>
                <w:rFonts w:hint="eastAsia"/>
                <w:color w:val="000000" w:themeColor="text1"/>
                <w:highlight w:val="none"/>
                <w:lang w:val="en-US" w:eastAsia="zh-CN"/>
                <w14:textFill>
                  <w14:solidFill>
                    <w14:schemeClr w14:val="tx1"/>
                  </w14:solidFill>
                </w14:textFill>
              </w:rPr>
              <w:t xml:space="preserve">4 </w:t>
            </w:r>
            <w:r>
              <w:rPr>
                <w:rFonts w:hint="eastAsia"/>
                <w:color w:val="70AD47" w:themeColor="accent6"/>
                <w:highlight w:val="none"/>
                <w:lang w:val="en-US" w:eastAsia="zh-CN"/>
                <w14:textFill>
                  <w14:solidFill>
                    <w14:schemeClr w14:val="accent6"/>
                  </w14:solidFill>
                </w14:textFill>
              </w:rPr>
              <w:t xml:space="preserve"> </w:t>
            </w:r>
            <w:r>
              <w:rPr>
                <w:rFonts w:hint="eastAsia"/>
                <w:highlight w:val="none"/>
              </w:rPr>
              <w:t>监  督</w:t>
            </w:r>
            <w:bookmarkStart w:id="977" w:name="_GoBack"/>
            <w:bookmarkEnd w:id="9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9779" w:type="dxa"/>
            <w:gridSpan w:val="3"/>
            <w:tcBorders>
              <w:tl2br w:val="nil"/>
              <w:tr2bl w:val="nil"/>
            </w:tcBorders>
            <w:vAlign w:val="center"/>
          </w:tcPr>
          <w:p>
            <w:pPr>
              <w:autoSpaceDE w:val="0"/>
              <w:autoSpaceDN w:val="0"/>
              <w:adjustRightInd w:val="0"/>
              <w:spacing w:before="50" w:line="420" w:lineRule="exact"/>
              <w:ind w:right="35"/>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2" w:hRule="atLeast"/>
        </w:trPr>
        <w:tc>
          <w:tcPr>
            <w:tcW w:w="819" w:type="dxa"/>
            <w:tcBorders>
              <w:tl2br w:val="nil"/>
              <w:tr2bl w:val="nil"/>
            </w:tcBorders>
            <w:vAlign w:val="center"/>
          </w:tcPr>
          <w:p>
            <w:pPr>
              <w:spacing w:line="312" w:lineRule="auto"/>
              <w:rPr>
                <w:rFonts w:hint="eastAsia" w:ascii="Times New Roman" w:hAnsi="Times New Roman" w:eastAsia="宋体" w:cs="Times New Roman"/>
                <w:kern w:val="2"/>
                <w:sz w:val="21"/>
                <w:szCs w:val="24"/>
                <w:highlight w:val="none"/>
                <w:lang w:val="en-US" w:eastAsia="zh-CN" w:bidi="ar-SA"/>
              </w:rPr>
            </w:pPr>
          </w:p>
        </w:tc>
        <w:tc>
          <w:tcPr>
            <w:tcW w:w="8960" w:type="dxa"/>
            <w:gridSpan w:val="2"/>
            <w:tcBorders>
              <w:tl2br w:val="nil"/>
              <w:tr2bl w:val="nil"/>
            </w:tcBorders>
            <w:vAlign w:val="center"/>
          </w:tcPr>
          <w:p>
            <w:pPr>
              <w:autoSpaceDE w:val="0"/>
              <w:autoSpaceDN w:val="0"/>
              <w:adjustRightInd w:val="0"/>
              <w:spacing w:before="50" w:line="420" w:lineRule="exact"/>
              <w:ind w:right="35"/>
              <w:rPr>
                <w:rFonts w:hint="eastAsia" w:ascii="宋体" w:cs="宋体"/>
                <w:color w:val="auto"/>
                <w:szCs w:val="21"/>
                <w:highlight w:val="none"/>
                <w:lang w:bidi="ar-SA"/>
              </w:rPr>
            </w:pPr>
            <w:r>
              <w:rPr>
                <w:rFonts w:hint="eastAsia"/>
                <w:highlight w:val="none"/>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9779" w:type="dxa"/>
            <w:gridSpan w:val="3"/>
            <w:tcBorders>
              <w:tl2br w:val="nil"/>
              <w:tr2bl w:val="nil"/>
            </w:tcBorders>
            <w:vAlign w:val="center"/>
          </w:tcPr>
          <w:p>
            <w:pPr>
              <w:spacing w:line="312" w:lineRule="auto"/>
              <w:rPr>
                <w:rFonts w:hint="eastAsia"/>
                <w:highlight w:val="none"/>
              </w:rPr>
            </w:pPr>
            <w:r>
              <w:rPr>
                <w:rFonts w:hint="eastAsia" w:cs="Times New Roman"/>
                <w:kern w:val="2"/>
                <w:sz w:val="21"/>
                <w:szCs w:val="24"/>
                <w:highlight w:val="none"/>
                <w:lang w:val="en-US" w:eastAsia="zh-CN" w:bidi="ar-SA"/>
              </w:rPr>
              <w:t xml:space="preserve">10.6  </w:t>
            </w:r>
            <w:r>
              <w:rPr>
                <w:rFonts w:hint="eastAsia" w:cs="Times New Roman"/>
                <w:color w:val="70AD47" w:themeColor="accent6"/>
                <w:kern w:val="2"/>
                <w:sz w:val="21"/>
                <w:szCs w:val="24"/>
                <w:highlight w:val="none"/>
                <w:lang w:val="en-US" w:eastAsia="zh-CN" w:bidi="ar-SA"/>
                <w14:textFill>
                  <w14:solidFill>
                    <w14:schemeClr w14:val="accent6"/>
                  </w14:solidFill>
                </w14:textFill>
              </w:rPr>
              <w:t xml:space="preserve"> </w:t>
            </w:r>
            <w:r>
              <w:rPr>
                <w:rFonts w:hint="eastAsia"/>
                <w:color w:val="auto"/>
                <w:highlight w:val="none"/>
              </w:rPr>
              <w:t>招标控制价、投标报价编制依据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19" w:type="dxa"/>
            <w:tcBorders>
              <w:tl2br w:val="nil"/>
              <w:tr2bl w:val="nil"/>
            </w:tcBorders>
            <w:vAlign w:val="center"/>
          </w:tcPr>
          <w:p>
            <w:pPr>
              <w:spacing w:line="312" w:lineRule="auto"/>
              <w:rPr>
                <w:rFonts w:hint="eastAsia" w:cs="Times New Roman"/>
                <w:color w:val="auto"/>
                <w:kern w:val="2"/>
                <w:sz w:val="21"/>
                <w:szCs w:val="24"/>
                <w:highlight w:val="none"/>
                <w:lang w:val="en-US" w:eastAsia="zh-CN" w:bidi="ar-SA"/>
              </w:rPr>
            </w:pPr>
          </w:p>
        </w:tc>
        <w:tc>
          <w:tcPr>
            <w:tcW w:w="8960" w:type="dxa"/>
            <w:gridSpan w:val="2"/>
            <w:tcBorders>
              <w:tl2br w:val="nil"/>
              <w:tr2bl w:val="nil"/>
            </w:tcBorders>
            <w:vAlign w:val="center"/>
          </w:tcPr>
          <w:p>
            <w:pPr>
              <w:tabs>
                <w:tab w:val="left" w:pos="525"/>
              </w:tabs>
              <w:spacing w:line="480" w:lineRule="auto"/>
              <w:rPr>
                <w:rFonts w:hint="eastAsia"/>
                <w:color w:val="auto"/>
                <w:highlight w:val="none"/>
              </w:rPr>
            </w:pPr>
            <w:r>
              <w:rPr>
                <w:rFonts w:hint="eastAsia"/>
                <w:color w:val="auto"/>
                <w:highlight w:val="none"/>
              </w:rPr>
              <w:t>一、工程概况：</w:t>
            </w:r>
          </w:p>
          <w:p>
            <w:pPr>
              <w:tabs>
                <w:tab w:val="left" w:pos="525"/>
              </w:tabs>
              <w:spacing w:line="480" w:lineRule="auto"/>
              <w:rPr>
                <w:rFonts w:hint="eastAsia"/>
                <w:color w:val="auto"/>
                <w:highlight w:val="none"/>
              </w:rPr>
            </w:pPr>
            <w:r>
              <w:rPr>
                <w:rFonts w:hint="eastAsia"/>
                <w:color w:val="auto"/>
                <w:highlight w:val="none"/>
              </w:rPr>
              <w:t xml:space="preserve">1、工程名称： 平顶山东部客运枢纽站项目建安工程             </w:t>
            </w:r>
          </w:p>
          <w:p>
            <w:pPr>
              <w:tabs>
                <w:tab w:val="left" w:pos="525"/>
              </w:tabs>
              <w:spacing w:line="480" w:lineRule="auto"/>
              <w:rPr>
                <w:rFonts w:hint="eastAsia"/>
                <w:color w:val="auto"/>
                <w:highlight w:val="none"/>
              </w:rPr>
            </w:pPr>
            <w:r>
              <w:rPr>
                <w:rFonts w:hint="eastAsia"/>
                <w:color w:val="auto"/>
                <w:highlight w:val="none"/>
              </w:rPr>
              <w:t>2、工程内容：站务综合楼、维修车库、车辆维护中心、机动车库1#、非机动车库2#、安检用房、公厕、门卫房、室外建筑安装等工程。</w:t>
            </w:r>
          </w:p>
          <w:p>
            <w:pPr>
              <w:tabs>
                <w:tab w:val="left" w:pos="525"/>
              </w:tabs>
              <w:spacing w:line="480" w:lineRule="auto"/>
              <w:rPr>
                <w:rFonts w:hint="eastAsia"/>
                <w:color w:val="auto"/>
                <w:highlight w:val="none"/>
              </w:rPr>
            </w:pPr>
            <w:r>
              <w:rPr>
                <w:rFonts w:hint="eastAsia"/>
                <w:color w:val="auto"/>
                <w:highlight w:val="none"/>
              </w:rPr>
              <w:t>二、清单及定额选用：</w:t>
            </w:r>
          </w:p>
          <w:p>
            <w:pPr>
              <w:tabs>
                <w:tab w:val="left" w:pos="525"/>
              </w:tabs>
              <w:spacing w:line="480" w:lineRule="auto"/>
              <w:rPr>
                <w:rFonts w:hint="eastAsia"/>
                <w:color w:val="auto"/>
                <w:highlight w:val="none"/>
              </w:rPr>
            </w:pPr>
            <w:r>
              <w:rPr>
                <w:rFonts w:hint="eastAsia"/>
                <w:color w:val="auto"/>
                <w:highlight w:val="none"/>
              </w:rPr>
              <w:t xml:space="preserve">1、清单规范选用：《建设工程工程量清单计价规范》GB 50500-2013、《房屋建筑与装饰工程工程量计算规范》GB </w:t>
            </w:r>
            <w:r>
              <w:rPr>
                <w:rFonts w:hint="eastAsia"/>
                <w:color w:val="auto"/>
                <w:highlight w:val="none"/>
                <w:lang w:val="en-US" w:eastAsia="zh-CN"/>
              </w:rPr>
              <w:t xml:space="preserve">   </w:t>
            </w:r>
            <w:r>
              <w:rPr>
                <w:rFonts w:hint="eastAsia"/>
                <w:color w:val="auto"/>
                <w:highlight w:val="none"/>
              </w:rPr>
              <w:t>50854-2013、《通用安装工程工程量计算规范》GB 50856-2013、《市政工程工程量计算规范》GB 50857-2013。</w:t>
            </w:r>
          </w:p>
          <w:p>
            <w:pPr>
              <w:tabs>
                <w:tab w:val="left" w:pos="525"/>
              </w:tabs>
              <w:spacing w:line="480" w:lineRule="auto"/>
              <w:rPr>
                <w:rFonts w:hint="eastAsia"/>
                <w:color w:val="auto"/>
                <w:highlight w:val="none"/>
              </w:rPr>
            </w:pPr>
            <w:r>
              <w:rPr>
                <w:rFonts w:hint="eastAsia"/>
                <w:color w:val="auto"/>
                <w:highlight w:val="none"/>
              </w:rPr>
              <w:t>2、定额选用：《河南省房屋建筑与装饰工程预算定额》（HA01-31-2016）、</w:t>
            </w:r>
          </w:p>
          <w:p>
            <w:pPr>
              <w:tabs>
                <w:tab w:val="left" w:pos="525"/>
              </w:tabs>
              <w:spacing w:line="480" w:lineRule="auto"/>
              <w:rPr>
                <w:rFonts w:hint="eastAsia"/>
                <w:color w:val="auto"/>
                <w:highlight w:val="none"/>
              </w:rPr>
            </w:pPr>
            <w:r>
              <w:rPr>
                <w:rFonts w:hint="eastAsia"/>
                <w:color w:val="auto"/>
                <w:highlight w:val="none"/>
              </w:rPr>
              <w:t>《河南省通用安装工程预算定额》（HA02-31-2016）、《河南省市政工程</w:t>
            </w:r>
          </w:p>
          <w:p>
            <w:pPr>
              <w:tabs>
                <w:tab w:val="left" w:pos="525"/>
              </w:tabs>
              <w:spacing w:line="480" w:lineRule="auto"/>
              <w:rPr>
                <w:rFonts w:hint="eastAsia"/>
                <w:color w:val="auto"/>
                <w:highlight w:val="none"/>
              </w:rPr>
            </w:pPr>
            <w:r>
              <w:rPr>
                <w:rFonts w:hint="eastAsia"/>
                <w:color w:val="auto"/>
                <w:highlight w:val="none"/>
              </w:rPr>
              <w:t>预算定额》（HA A1-31-2016）、《河南省建设工程工程量清单综合单价(2008)》</w:t>
            </w:r>
          </w:p>
          <w:p>
            <w:pPr>
              <w:tabs>
                <w:tab w:val="left" w:pos="525"/>
              </w:tabs>
              <w:spacing w:line="480" w:lineRule="auto"/>
              <w:rPr>
                <w:rFonts w:hint="eastAsia"/>
                <w:color w:val="auto"/>
                <w:highlight w:val="none"/>
              </w:rPr>
            </w:pPr>
            <w:r>
              <w:rPr>
                <w:rFonts w:hint="eastAsia"/>
                <w:color w:val="auto"/>
                <w:highlight w:val="none"/>
              </w:rPr>
              <w:t>（E园林绿化工程）相关解释及计价办法等。</w:t>
            </w:r>
          </w:p>
          <w:p>
            <w:pPr>
              <w:tabs>
                <w:tab w:val="left" w:pos="525"/>
              </w:tabs>
              <w:spacing w:line="480" w:lineRule="auto"/>
              <w:rPr>
                <w:rFonts w:hint="eastAsia"/>
                <w:color w:val="auto"/>
                <w:highlight w:val="none"/>
              </w:rPr>
            </w:pPr>
            <w:r>
              <w:rPr>
                <w:rFonts w:hint="eastAsia"/>
                <w:color w:val="auto"/>
                <w:highlight w:val="none"/>
                <w:lang w:val="en-US" w:eastAsia="zh-CN"/>
              </w:rPr>
              <w:t>三、</w:t>
            </w:r>
            <w:r>
              <w:rPr>
                <w:rFonts w:hint="eastAsia"/>
                <w:color w:val="auto"/>
                <w:highlight w:val="none"/>
              </w:rPr>
              <w:t>编制依据：</w:t>
            </w:r>
          </w:p>
          <w:p>
            <w:pPr>
              <w:tabs>
                <w:tab w:val="left" w:pos="525"/>
              </w:tabs>
              <w:spacing w:line="480" w:lineRule="auto"/>
              <w:rPr>
                <w:rFonts w:hint="eastAsia"/>
                <w:color w:val="auto"/>
                <w:highlight w:val="none"/>
              </w:rPr>
            </w:pPr>
            <w:r>
              <w:rPr>
                <w:rFonts w:hint="eastAsia"/>
                <w:color w:val="auto"/>
                <w:highlight w:val="none"/>
              </w:rPr>
              <w:t>上报设计施工图纸以及相关资料</w:t>
            </w:r>
          </w:p>
          <w:p>
            <w:pPr>
              <w:tabs>
                <w:tab w:val="left" w:pos="525"/>
              </w:tabs>
              <w:spacing w:line="480" w:lineRule="auto"/>
              <w:rPr>
                <w:rFonts w:hint="eastAsia"/>
                <w:color w:val="auto"/>
                <w:highlight w:val="none"/>
              </w:rPr>
            </w:pPr>
            <w:r>
              <w:rPr>
                <w:rFonts w:hint="eastAsia"/>
                <w:color w:val="auto"/>
                <w:highlight w:val="none"/>
                <w:lang w:val="en-US" w:eastAsia="zh-CN"/>
              </w:rPr>
              <w:t>四、</w:t>
            </w:r>
            <w:r>
              <w:rPr>
                <w:rFonts w:hint="eastAsia"/>
                <w:color w:val="auto"/>
                <w:highlight w:val="none"/>
              </w:rPr>
              <w:t>费用计取：</w:t>
            </w:r>
          </w:p>
          <w:p>
            <w:pPr>
              <w:tabs>
                <w:tab w:val="left" w:pos="525"/>
              </w:tabs>
              <w:spacing w:line="480" w:lineRule="auto"/>
              <w:rPr>
                <w:rFonts w:hint="eastAsia"/>
                <w:color w:val="auto"/>
                <w:highlight w:val="none"/>
              </w:rPr>
            </w:pPr>
            <w:r>
              <w:rPr>
                <w:rFonts w:hint="eastAsia"/>
                <w:color w:val="auto"/>
                <w:highlight w:val="none"/>
              </w:rPr>
              <w:t>1、安全文明施工费按照定额计取；夜间施工增加费、二次搬运费、冬雨季施工增加费均计取。</w:t>
            </w:r>
          </w:p>
          <w:p>
            <w:pPr>
              <w:tabs>
                <w:tab w:val="left" w:pos="525"/>
              </w:tabs>
              <w:spacing w:line="480" w:lineRule="auto"/>
              <w:rPr>
                <w:rFonts w:hint="eastAsia"/>
                <w:color w:val="auto"/>
                <w:highlight w:val="none"/>
                <w:lang w:eastAsia="zh-CN"/>
              </w:rPr>
            </w:pPr>
            <w:r>
              <w:rPr>
                <w:rFonts w:hint="eastAsia"/>
                <w:color w:val="auto"/>
                <w:highlight w:val="none"/>
              </w:rPr>
              <w:t>2、人工费、机械费、管理费等动态调整规则执行豫建标定【2021】36号文件，， 第10 期价格指数（2021年 7-12 月）调整</w:t>
            </w:r>
            <w:r>
              <w:rPr>
                <w:rFonts w:hint="eastAsia"/>
                <w:color w:val="auto"/>
                <w:highlight w:val="none"/>
                <w:lang w:eastAsia="zh-CN"/>
              </w:rPr>
              <w:t>。</w:t>
            </w:r>
          </w:p>
          <w:p>
            <w:pPr>
              <w:tabs>
                <w:tab w:val="left" w:pos="525"/>
              </w:tabs>
              <w:spacing w:line="480" w:lineRule="auto"/>
              <w:rPr>
                <w:rFonts w:hint="eastAsia"/>
                <w:color w:val="auto"/>
                <w:highlight w:val="none"/>
              </w:rPr>
            </w:pPr>
            <w:r>
              <w:rPr>
                <w:rFonts w:hint="eastAsia"/>
                <w:color w:val="auto"/>
                <w:highlight w:val="none"/>
              </w:rPr>
              <w:t>3、税金执行中华人民共和国住房和城乡建设厅于2019年03月26日所颁布的建办标函【2019】193号文，由10％调整为9％。</w:t>
            </w:r>
          </w:p>
          <w:p>
            <w:pPr>
              <w:tabs>
                <w:tab w:val="left" w:pos="525"/>
              </w:tabs>
              <w:spacing w:line="480" w:lineRule="auto"/>
              <w:rPr>
                <w:rFonts w:hint="eastAsia"/>
                <w:color w:val="auto"/>
                <w:highlight w:val="none"/>
              </w:rPr>
            </w:pPr>
            <w:r>
              <w:rPr>
                <w:rFonts w:hint="eastAsia"/>
                <w:color w:val="auto"/>
                <w:highlight w:val="none"/>
                <w:lang w:val="en-US" w:eastAsia="zh-CN"/>
              </w:rPr>
              <w:t>五、</w:t>
            </w:r>
            <w:r>
              <w:rPr>
                <w:rFonts w:hint="eastAsia"/>
                <w:color w:val="auto"/>
                <w:highlight w:val="none"/>
              </w:rPr>
              <w:t>材料价格：</w:t>
            </w:r>
          </w:p>
          <w:p>
            <w:pPr>
              <w:tabs>
                <w:tab w:val="left" w:pos="525"/>
              </w:tabs>
              <w:spacing w:line="480" w:lineRule="auto"/>
              <w:rPr>
                <w:rFonts w:hint="eastAsia"/>
                <w:color w:val="auto"/>
                <w:highlight w:val="none"/>
              </w:rPr>
            </w:pPr>
            <w:r>
              <w:rPr>
                <w:rFonts w:hint="eastAsia"/>
                <w:color w:val="auto"/>
                <w:highlight w:val="none"/>
              </w:rPr>
              <w:t xml:space="preserve">   材料价格：采用《平顶山工程造价》2022年第1期材料价，信息价不足部分参照郑州地区信息价、专业测定价以及市场询价等。</w:t>
            </w:r>
          </w:p>
          <w:p>
            <w:pPr>
              <w:tabs>
                <w:tab w:val="left" w:pos="525"/>
              </w:tabs>
              <w:spacing w:line="480" w:lineRule="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9779" w:type="dxa"/>
            <w:gridSpan w:val="3"/>
            <w:tcBorders>
              <w:tl2br w:val="nil"/>
              <w:tr2bl w:val="nil"/>
            </w:tcBorders>
            <w:vAlign w:val="center"/>
          </w:tcPr>
          <w:p>
            <w:pPr>
              <w:spacing w:line="312" w:lineRule="auto"/>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 xml:space="preserve">10.7  </w:t>
            </w:r>
            <w:r>
              <w:rPr>
                <w:rFonts w:hint="eastAsia"/>
                <w:color w:val="000000" w:themeColor="text1"/>
                <w:highlight w:val="none"/>
                <w14:textFill>
                  <w14:solidFill>
                    <w14:schemeClr w14:val="tx1"/>
                  </w14:solidFill>
                </w14:textFill>
              </w:rPr>
              <w:t>工程竣工结算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atLeast"/>
        </w:trPr>
        <w:tc>
          <w:tcPr>
            <w:tcW w:w="819" w:type="dxa"/>
            <w:tcBorders>
              <w:tl2br w:val="nil"/>
              <w:tr2bl w:val="nil"/>
            </w:tcBorders>
            <w:vAlign w:val="center"/>
          </w:tcPr>
          <w:p>
            <w:pPr>
              <w:spacing w:line="312" w:lineRule="auto"/>
              <w:rPr>
                <w:rFonts w:hint="eastAsia" w:cs="Times New Roman"/>
                <w:kern w:val="2"/>
                <w:sz w:val="21"/>
                <w:szCs w:val="24"/>
                <w:highlight w:val="none"/>
                <w:lang w:val="en-US" w:eastAsia="zh-CN" w:bidi="ar-SA"/>
              </w:rPr>
            </w:pPr>
          </w:p>
        </w:tc>
        <w:tc>
          <w:tcPr>
            <w:tcW w:w="8960" w:type="dxa"/>
            <w:gridSpan w:val="2"/>
            <w:tcBorders>
              <w:tl2br w:val="nil"/>
              <w:tr2bl w:val="nil"/>
            </w:tcBorders>
            <w:vAlign w:val="center"/>
          </w:tcPr>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10.7.</w:t>
            </w:r>
            <w:r>
              <w:rPr>
                <w:rFonts w:hint="eastAsia"/>
                <w:color w:val="000000" w:themeColor="text1"/>
                <w:highlight w:val="none"/>
                <w14:textFill>
                  <w14:solidFill>
                    <w14:schemeClr w14:val="tx1"/>
                  </w14:solidFill>
                </w14:textFill>
              </w:rPr>
              <w:t>1</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在工程竣工验收的同时，承包方须提供竣工结算报告和完整的工程验收资料。结算资料为工程竣工结算的全部内容</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投标人漏报的内容，招标人认为其费用已包括在相关的工程量清单的综合单价中，不再另行补列，结算时不再增加。</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10.7.</w:t>
            </w:r>
            <w:r>
              <w:rPr>
                <w:rFonts w:hint="eastAsia"/>
                <w:color w:val="000000" w:themeColor="text1"/>
                <w:highlight w:val="none"/>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按照施工合同及投标文件，在中标人承包价基础上调整变更、签证、材差增减等费用，经招标人审定且中标人认可后作为最终竣工结算造价。</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10.7.</w:t>
            </w:r>
            <w:r>
              <w:rPr>
                <w:rFonts w:hint="eastAsia"/>
                <w:color w:val="000000" w:themeColor="text1"/>
                <w:highlight w:val="none"/>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招标范围外新增项目，如果招标人交由中标人施工，中标人应承诺新增加的项目按招标文件约定的工程造价确定办法及中标人投报的优惠比例确定未报价的分部分项工程综合单价，设计变更及签证发生的费用若没有类似单价亦按此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9779" w:type="dxa"/>
            <w:gridSpan w:val="3"/>
            <w:tcBorders>
              <w:tl2br w:val="nil"/>
              <w:tr2bl w:val="nil"/>
            </w:tcBorders>
            <w:vAlign w:val="center"/>
          </w:tcPr>
          <w:p>
            <w:pPr>
              <w:spacing w:line="312" w:lineRule="auto"/>
              <w:rPr>
                <w:rFonts w:hint="eastAsia" w:cs="Times New Roman"/>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 xml:space="preserve">10.8   </w:t>
            </w:r>
            <w:r>
              <w:rPr>
                <w:rFonts w:hint="eastAsia"/>
                <w:color w:val="000000" w:themeColor="text1"/>
                <w:highlight w:val="none"/>
                <w14:textFill>
                  <w14:solidFill>
                    <w14:schemeClr w14:val="tx1"/>
                  </w14:solidFill>
                </w14:textFill>
              </w:rPr>
              <w:t>合同价款的支付方式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0" w:hRule="atLeast"/>
        </w:trPr>
        <w:tc>
          <w:tcPr>
            <w:tcW w:w="819" w:type="dxa"/>
            <w:tcBorders>
              <w:tl2br w:val="nil"/>
              <w:tr2bl w:val="nil"/>
            </w:tcBorders>
            <w:vAlign w:val="center"/>
          </w:tcPr>
          <w:p>
            <w:pPr>
              <w:spacing w:line="312" w:lineRule="auto"/>
              <w:rPr>
                <w:rFonts w:hint="eastAsia" w:cs="Times New Roman"/>
                <w:kern w:val="2"/>
                <w:sz w:val="21"/>
                <w:szCs w:val="24"/>
                <w:highlight w:val="none"/>
                <w:lang w:val="en-US" w:eastAsia="zh-CN" w:bidi="ar-SA"/>
              </w:rPr>
            </w:pPr>
          </w:p>
        </w:tc>
        <w:tc>
          <w:tcPr>
            <w:tcW w:w="8960" w:type="dxa"/>
            <w:gridSpan w:val="2"/>
            <w:tcBorders>
              <w:tl2br w:val="nil"/>
              <w:tr2bl w:val="nil"/>
            </w:tcBorders>
            <w:vAlign w:val="center"/>
          </w:tcPr>
          <w:p>
            <w:pPr>
              <w:spacing w:line="360" w:lineRule="auto"/>
              <w:ind w:firstLine="420" w:firstLineChars="200"/>
              <w:rPr>
                <w:rFonts w:hint="eastAsia"/>
                <w:color w:val="auto"/>
                <w:highlight w:val="none"/>
                <w:lang w:val="en-US" w:eastAsia="zh-CN"/>
              </w:rPr>
            </w:pPr>
            <w:r>
              <w:rPr>
                <w:rFonts w:hint="eastAsia"/>
                <w:color w:val="auto"/>
                <w:highlight w:val="none"/>
                <w:lang w:val="en-US" w:eastAsia="zh-CN"/>
              </w:rPr>
              <w:t>10.8.1 施工承包合同签订后支付工程预付款合同总价的20%（中标单位同时向招标人提供与预付款同等额度的预付款担保），工程预付款从工程进度款中前三期等额扣回。每月25日前承包人向发包人报送已完工程量报表，经发包人、总监理工程师确认后，按实际完成的工程量的85%进行支付。</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olor w:val="auto"/>
                <w:highlight w:val="none"/>
                <w:lang w:val="en-US" w:eastAsia="zh-CN"/>
              </w:rPr>
              <w:t>工程竣工验收合格后付至合同价款的85%：结算审计后付至结算价的97%；余3%作为质量保修金，待缺陷责任期满经发包方和监理方验收后无质量问题且达到承包人承诺的质量等级后一个月内一次性无息付清。工程竣工后，承包人应向发包人提供书面竣工归档资料4套，并整理成册。并确保竣工资料真实、准确、齐全、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779" w:type="dxa"/>
            <w:gridSpan w:val="3"/>
            <w:tcBorders>
              <w:tl2br w:val="nil"/>
              <w:tr2bl w:val="nil"/>
            </w:tcBorders>
            <w:vAlign w:val="center"/>
          </w:tcPr>
          <w:p>
            <w:pPr>
              <w:spacing w:line="312" w:lineRule="auto"/>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 xml:space="preserve">10.9   </w:t>
            </w:r>
            <w:r>
              <w:rPr>
                <w:rFonts w:hint="eastAsia"/>
                <w:color w:val="000000" w:themeColor="text1"/>
                <w:highlight w:val="none"/>
                <w14:textFill>
                  <w14:solidFill>
                    <w14:schemeClr w14:val="tx1"/>
                  </w14:solidFill>
                </w14:textFill>
              </w:rPr>
              <w:t>合同价调整的因素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6" w:hRule="atLeast"/>
        </w:trPr>
        <w:tc>
          <w:tcPr>
            <w:tcW w:w="819" w:type="dxa"/>
            <w:tcBorders>
              <w:tl2br w:val="nil"/>
              <w:tr2bl w:val="nil"/>
            </w:tcBorders>
            <w:vAlign w:val="center"/>
          </w:tcPr>
          <w:p>
            <w:pPr>
              <w:spacing w:line="312" w:lineRule="auto"/>
              <w:rPr>
                <w:rFonts w:hint="eastAsia" w:cs="Times New Roman"/>
                <w:kern w:val="2"/>
                <w:sz w:val="21"/>
                <w:szCs w:val="24"/>
                <w:highlight w:val="none"/>
                <w:lang w:val="en-US" w:eastAsia="zh-CN" w:bidi="ar-SA"/>
              </w:rPr>
            </w:pPr>
          </w:p>
        </w:tc>
        <w:tc>
          <w:tcPr>
            <w:tcW w:w="8960" w:type="dxa"/>
            <w:gridSpan w:val="2"/>
            <w:tcBorders>
              <w:tl2br w:val="nil"/>
              <w:tr2bl w:val="nil"/>
            </w:tcBorders>
            <w:vAlign w:val="center"/>
          </w:tcPr>
          <w:p>
            <w:pPr>
              <w:spacing w:line="360" w:lineRule="auto"/>
              <w:ind w:firstLine="420" w:firstLineChars="200"/>
              <w:rPr>
                <w:rFonts w:hint="eastAsia"/>
                <w:color w:val="auto"/>
                <w:highlight w:val="none"/>
              </w:rPr>
            </w:pPr>
            <w:r>
              <w:rPr>
                <w:rFonts w:hint="eastAsia" w:cs="Times New Roman"/>
                <w:color w:val="000000" w:themeColor="text1"/>
                <w:kern w:val="2"/>
                <w:sz w:val="21"/>
                <w:szCs w:val="24"/>
                <w:highlight w:val="none"/>
                <w:lang w:val="en-US" w:eastAsia="zh-CN" w:bidi="ar-SA"/>
                <w14:textFill>
                  <w14:solidFill>
                    <w14:schemeClr w14:val="tx1"/>
                  </w14:solidFill>
                </w14:textFill>
              </w:rPr>
              <w:t>10.9.</w:t>
            </w:r>
            <w:r>
              <w:rPr>
                <w:rFonts w:hint="eastAsia"/>
                <w:color w:val="000000" w:themeColor="text1"/>
                <w:highlight w:val="none"/>
                <w14:textFill>
                  <w14:solidFill>
                    <w14:schemeClr w14:val="tx1"/>
                  </w14:solidFill>
                </w14:textFill>
              </w:rPr>
              <w:t>1工程量和综合单价调整原则：招标人发布的工程量清单和实际施工应予计量的工程量相比，因非承包人原因引起的工程量发生变化时，按实调整工程量。当工程量变动幅度在工程量清单数量±1</w:t>
            </w:r>
            <w:r>
              <w:rPr>
                <w:rFonts w:hint="eastAsia"/>
                <w:color w:val="auto"/>
                <w:highlight w:val="none"/>
              </w:rPr>
              <w:t>5% （含±15%）以内时，其综合单价不调整，当变动幅度在工程量清单数量±15%（不含±15%）以上时，仅调整超出±15%外部分工程量和综合单价，其综合单价调整办法按</w:t>
            </w:r>
            <w:r>
              <w:rPr>
                <w:rFonts w:hint="eastAsia"/>
                <w:color w:val="auto"/>
                <w:highlight w:val="none"/>
                <w:lang w:val="en-US" w:eastAsia="zh-CN"/>
              </w:rPr>
              <w:t>GB50500-2013</w:t>
            </w:r>
            <w:r>
              <w:rPr>
                <w:rFonts w:hint="eastAsia"/>
                <w:color w:val="auto"/>
                <w:highlight w:val="none"/>
              </w:rPr>
              <w:t>执行；</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10.9.</w:t>
            </w:r>
            <w:r>
              <w:rPr>
                <w:rFonts w:hint="eastAsia"/>
                <w:color w:val="000000" w:themeColor="text1"/>
                <w:highlight w:val="none"/>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材料价格发生变化时，投标人应承担材料价格±5%（包括±5%）的风险，即施工期间该工程所用的主要材料发生的价格涨跌幅度在±5%（包括±5%）范围内时，材料价格风险由中标人承担，结算中不予调整。</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施工期间主要材料价格涨跌幅度超过±5%以外部分,材料价格风险由招标人承担（最终结算材料单价=中标人投报单价±上述5%以外部分）。施工期间主要材料的价格以</w:t>
            </w:r>
            <w:r>
              <w:rPr>
                <w:rFonts w:hint="eastAsia"/>
                <w:color w:val="000000" w:themeColor="text1"/>
                <w:highlight w:val="none"/>
                <w:lang w:eastAsia="zh-CN"/>
                <w14:textFill>
                  <w14:solidFill>
                    <w14:schemeClr w14:val="tx1"/>
                  </w14:solidFill>
                </w14:textFill>
              </w:rPr>
              <w:t>招标控制价编制说明第五条材料价格</w:t>
            </w:r>
            <w:r>
              <w:rPr>
                <w:rFonts w:hint="eastAsia"/>
                <w:color w:val="000000" w:themeColor="text1"/>
                <w:highlight w:val="none"/>
                <w14:textFill>
                  <w14:solidFill>
                    <w14:schemeClr w14:val="tx1"/>
                  </w14:solidFill>
                </w14:textFill>
              </w:rPr>
              <w:t>为准。</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10.9.</w:t>
            </w:r>
            <w:r>
              <w:rPr>
                <w:rFonts w:hint="eastAsia"/>
                <w:color w:val="000000" w:themeColor="text1"/>
                <w:highlight w:val="none"/>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 xml:space="preserve"> 施工过程中变更、工程签证等按实际发生工程量计算，调整办法执行10.9.1、10.9.2；除合同约定需要调整的内容按实际发生调整外，其他均不再调整；工程量清单未列的项，如与工程量清单中已有的项类似，则参照类似项的投标单价；如工程量清单中没有的，承包人依据《建设工程工程量清单计价规范》（GB50500-2013）、《通用安装工程工程量计算规范》（GB50856-2013）、材料、人工费及相关配套文件和承包人报价浮动率提出变更工程量单价，发包人审核后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9779" w:type="dxa"/>
            <w:gridSpan w:val="3"/>
            <w:tcBorders>
              <w:tl2br w:val="nil"/>
              <w:tr2bl w:val="nil"/>
            </w:tcBorders>
            <w:vAlign w:val="center"/>
          </w:tcPr>
          <w:p>
            <w:pPr>
              <w:spacing w:line="312" w:lineRule="auto"/>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 xml:space="preserve">10.10   </w:t>
            </w:r>
            <w:r>
              <w:rPr>
                <w:rFonts w:hint="eastAsia"/>
                <w:color w:val="000000" w:themeColor="text1"/>
                <w:highlight w:val="none"/>
                <w14:textFill>
                  <w14:solidFill>
                    <w14:schemeClr w14:val="tx1"/>
                  </w14:solidFill>
                </w14:textFill>
              </w:rPr>
              <w:t>材料供应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7" w:hRule="atLeast"/>
        </w:trPr>
        <w:tc>
          <w:tcPr>
            <w:tcW w:w="819" w:type="dxa"/>
            <w:tcBorders>
              <w:tl2br w:val="nil"/>
              <w:tr2bl w:val="nil"/>
            </w:tcBorders>
            <w:vAlign w:val="center"/>
          </w:tcPr>
          <w:p>
            <w:pPr>
              <w:spacing w:line="312" w:lineRule="auto"/>
              <w:rPr>
                <w:rFonts w:hint="eastAsia" w:cs="Times New Roman"/>
                <w:kern w:val="2"/>
                <w:sz w:val="21"/>
                <w:szCs w:val="24"/>
                <w:highlight w:val="none"/>
                <w:lang w:val="en-US" w:eastAsia="zh-CN" w:bidi="ar-SA"/>
              </w:rPr>
            </w:pPr>
          </w:p>
        </w:tc>
        <w:tc>
          <w:tcPr>
            <w:tcW w:w="8960" w:type="dxa"/>
            <w:gridSpan w:val="2"/>
            <w:tcBorders>
              <w:tl2br w:val="nil"/>
              <w:tr2bl w:val="nil"/>
            </w:tcBorders>
            <w:vAlign w:val="center"/>
          </w:tcPr>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10.10.</w:t>
            </w:r>
            <w:r>
              <w:rPr>
                <w:rFonts w:hint="eastAsia"/>
                <w:color w:val="000000" w:themeColor="text1"/>
                <w:highlight w:val="none"/>
                <w14:textFill>
                  <w14:solidFill>
                    <w14:schemeClr w14:val="tx1"/>
                  </w14:solidFill>
                </w14:textFill>
              </w:rPr>
              <w:t>1</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本工程所需的材料均由中标人采购，采购前需经过</w:t>
            </w:r>
            <w:r>
              <w:rPr>
                <w:rFonts w:hint="eastAsia"/>
                <w:color w:val="000000" w:themeColor="text1"/>
                <w:highlight w:val="none"/>
                <w:lang w:eastAsia="zh-CN"/>
                <w14:textFill>
                  <w14:solidFill>
                    <w14:schemeClr w14:val="tx1"/>
                  </w14:solidFill>
                </w14:textFill>
              </w:rPr>
              <w:t>发包人</w:t>
            </w:r>
            <w:r>
              <w:rPr>
                <w:rFonts w:hint="eastAsia"/>
                <w:color w:val="000000" w:themeColor="text1"/>
                <w:highlight w:val="none"/>
                <w14:textFill>
                  <w14:solidFill>
                    <w14:schemeClr w14:val="tx1"/>
                  </w14:solidFill>
                </w14:textFill>
              </w:rPr>
              <w:t>代表、监理工程师认可，否则不得进场使用。</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 xml:space="preserve">10.10.2 </w:t>
            </w:r>
            <w:r>
              <w:rPr>
                <w:rFonts w:hint="eastAsia"/>
                <w:color w:val="000000" w:themeColor="text1"/>
                <w:highlight w:val="none"/>
                <w14:textFill>
                  <w14:solidFill>
                    <w14:schemeClr w14:val="tx1"/>
                  </w14:solidFill>
                </w14:textFill>
              </w:rPr>
              <w:t>所有材料必须符合设计要求及国家有关标准规定，并且具备有关的出厂合格证、材质单及复试报告，出现质量问题，由责任方承担。</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 xml:space="preserve">10.10.3 </w:t>
            </w:r>
            <w:r>
              <w:rPr>
                <w:rFonts w:hint="eastAsia"/>
                <w:color w:val="000000" w:themeColor="text1"/>
                <w:highlight w:val="none"/>
                <w14:textFill>
                  <w14:solidFill>
                    <w14:schemeClr w14:val="tx1"/>
                  </w14:solidFill>
                </w14:textFill>
              </w:rPr>
              <w:t>所有材料试验费、测试费及工程相关的现场检验检测费用由中标人承担。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9779" w:type="dxa"/>
            <w:gridSpan w:val="3"/>
            <w:tcBorders>
              <w:tl2br w:val="nil"/>
              <w:tr2bl w:val="nil"/>
            </w:tcBorders>
            <w:vAlign w:val="center"/>
          </w:tcPr>
          <w:p>
            <w:pPr>
              <w:spacing w:line="312" w:lineRule="auto"/>
              <w:rPr>
                <w:rFonts w:hint="eastAsia" w:cs="Times New Roman"/>
                <w:color w:val="000000" w:themeColor="text1"/>
                <w:kern w:val="2"/>
                <w:sz w:val="21"/>
                <w:szCs w:val="24"/>
                <w:highlight w:val="none"/>
                <w:lang w:val="en-US" w:eastAsia="zh-CN" w:bidi="ar-SA"/>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 xml:space="preserve">10.11   </w:t>
            </w:r>
            <w:r>
              <w:rPr>
                <w:rFonts w:hint="eastAsia"/>
                <w:color w:val="000000" w:themeColor="text1"/>
                <w:highlight w:val="none"/>
                <w14:textFill>
                  <w14:solidFill>
                    <w14:schemeClr w14:val="tx1"/>
                  </w14:solidFill>
                </w14:textFill>
              </w:rPr>
              <w:t>招标实质性要求和条件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trPr>
        <w:tc>
          <w:tcPr>
            <w:tcW w:w="819" w:type="dxa"/>
            <w:tcBorders>
              <w:tl2br w:val="nil"/>
              <w:tr2bl w:val="nil"/>
            </w:tcBorders>
            <w:vAlign w:val="center"/>
          </w:tcPr>
          <w:p>
            <w:pPr>
              <w:spacing w:line="312" w:lineRule="auto"/>
              <w:rPr>
                <w:rFonts w:hint="eastAsia" w:cs="Times New Roman"/>
                <w:kern w:val="2"/>
                <w:sz w:val="21"/>
                <w:szCs w:val="24"/>
                <w:highlight w:val="none"/>
                <w:lang w:val="en-US" w:eastAsia="zh-CN" w:bidi="ar-SA"/>
              </w:rPr>
            </w:pPr>
          </w:p>
        </w:tc>
        <w:tc>
          <w:tcPr>
            <w:tcW w:w="8960" w:type="dxa"/>
            <w:gridSpan w:val="2"/>
            <w:tcBorders>
              <w:tl2br w:val="nil"/>
              <w:tr2bl w:val="nil"/>
            </w:tcBorders>
            <w:vAlign w:val="center"/>
          </w:tcPr>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10.11.</w:t>
            </w:r>
            <w:r>
              <w:rPr>
                <w:rFonts w:hint="eastAsia"/>
                <w:color w:val="000000" w:themeColor="text1"/>
                <w:highlight w:val="none"/>
                <w14:textFill>
                  <w14:solidFill>
                    <w14:schemeClr w14:val="tx1"/>
                  </w14:solidFill>
                </w14:textFill>
              </w:rPr>
              <w:t>1</w:t>
            </w:r>
            <w:r>
              <w:rPr>
                <w:rFonts w:hint="eastAsia"/>
                <w:color w:val="000000" w:themeColor="text1"/>
                <w:highlight w:val="none"/>
                <w:lang w:val="en-US" w:eastAsia="zh-CN"/>
                <w14:textFill>
                  <w14:solidFill>
                    <w14:schemeClr w14:val="tx1"/>
                  </w14:solidFill>
                </w14:textFill>
              </w:rPr>
              <w:t xml:space="preserve"> 中标后，中标人在取得施工许可证后20日内到平顶山市人力资源和社会保证局按中标价的2%足额缴纳农民工工资保证金（转账或电汇或保函）。一旦承包的工程项目中出现拖欠农民工工资的情况，可由人设部门从该工资保证金中先予以支付。</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此保障金在领取中标通知书之前将此保障金保函交于</w:t>
            </w:r>
            <w:r>
              <w:rPr>
                <w:rFonts w:hint="eastAsia"/>
                <w:color w:val="000000" w:themeColor="text1"/>
                <w:highlight w:val="none"/>
                <w:lang w:val="en-US" w:eastAsia="zh-CN"/>
                <w14:textFill>
                  <w14:solidFill>
                    <w14:schemeClr w14:val="tx1"/>
                  </w14:solidFill>
                </w14:textFill>
              </w:rPr>
              <w:t>相关部门</w:t>
            </w:r>
            <w:r>
              <w:rPr>
                <w:rFonts w:hint="eastAsia"/>
                <w:color w:val="000000" w:themeColor="text1"/>
                <w:highlight w:val="none"/>
                <w14:textFill>
                  <w14:solidFill>
                    <w14:schemeClr w14:val="tx1"/>
                  </w14:solidFill>
                </w14:textFill>
              </w:rPr>
              <w:t>集中保管。</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10.11.</w:t>
            </w:r>
            <w:r>
              <w:rPr>
                <w:rFonts w:hint="eastAsia"/>
                <w:color w:val="000000" w:themeColor="text1"/>
                <w:highlight w:val="none"/>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 xml:space="preserve"> </w:t>
            </w:r>
            <w:r>
              <w:rPr>
                <w:color w:val="000000" w:themeColor="text1"/>
                <w:highlight w:val="none"/>
                <w14:textFill>
                  <w14:solidFill>
                    <w14:schemeClr w14:val="tx1"/>
                  </w14:solidFill>
                </w14:textFill>
              </w:rPr>
              <w:t>工程质量达到投标文件所报的质量</w:t>
            </w:r>
            <w:r>
              <w:rPr>
                <w:rFonts w:hint="eastAsia"/>
                <w:color w:val="000000" w:themeColor="text1"/>
                <w:highlight w:val="none"/>
                <w14:textFill>
                  <w14:solidFill>
                    <w14:schemeClr w14:val="tx1"/>
                  </w14:solidFill>
                </w14:textFill>
              </w:rPr>
              <w:t>等级</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施工中，</w:t>
            </w:r>
            <w:r>
              <w:rPr>
                <w:color w:val="000000" w:themeColor="text1"/>
                <w:highlight w:val="none"/>
                <w14:textFill>
                  <w14:solidFill>
                    <w14:schemeClr w14:val="tx1"/>
                  </w14:solidFill>
                </w14:textFill>
              </w:rPr>
              <w:t>若因中标人原因造成工程质量</w:t>
            </w:r>
            <w:r>
              <w:rPr>
                <w:rFonts w:hint="eastAsia"/>
                <w:color w:val="000000" w:themeColor="text1"/>
                <w:highlight w:val="none"/>
                <w14:textFill>
                  <w14:solidFill>
                    <w14:schemeClr w14:val="tx1"/>
                  </w14:solidFill>
                </w14:textFill>
              </w:rPr>
              <w:t>未达到</w:t>
            </w:r>
            <w:r>
              <w:rPr>
                <w:color w:val="000000" w:themeColor="text1"/>
                <w:highlight w:val="none"/>
                <w14:textFill>
                  <w14:solidFill>
                    <w14:schemeClr w14:val="tx1"/>
                  </w14:solidFill>
                </w14:textFill>
              </w:rPr>
              <w:t>投标</w:t>
            </w:r>
            <w:r>
              <w:rPr>
                <w:rFonts w:hint="eastAsia"/>
                <w:color w:val="000000" w:themeColor="text1"/>
                <w:highlight w:val="none"/>
                <w14:textFill>
                  <w14:solidFill>
                    <w14:schemeClr w14:val="tx1"/>
                  </w14:solidFill>
                </w14:textFill>
              </w:rPr>
              <w:t>文件中</w:t>
            </w:r>
            <w:r>
              <w:rPr>
                <w:color w:val="000000" w:themeColor="text1"/>
                <w:highlight w:val="none"/>
                <w14:textFill>
                  <w14:solidFill>
                    <w14:schemeClr w14:val="tx1"/>
                  </w14:solidFill>
                </w14:textFill>
              </w:rPr>
              <w:t>所报质量等级，中标人应无条件返修并承担由此</w:t>
            </w:r>
            <w:r>
              <w:rPr>
                <w:rFonts w:hint="eastAsia"/>
                <w:color w:val="000000" w:themeColor="text1"/>
                <w:highlight w:val="none"/>
                <w14:textFill>
                  <w14:solidFill>
                    <w14:schemeClr w14:val="tx1"/>
                  </w14:solidFill>
                </w14:textFill>
              </w:rPr>
              <w:t>给招标人</w:t>
            </w:r>
            <w:r>
              <w:rPr>
                <w:color w:val="000000" w:themeColor="text1"/>
                <w:highlight w:val="none"/>
                <w14:textFill>
                  <w14:solidFill>
                    <w14:schemeClr w14:val="tx1"/>
                  </w14:solidFill>
                </w14:textFill>
              </w:rPr>
              <w:t>造成的一切损失及赔偿费用。在招标人所限定的时间内，中标人不能按要求整改的，招标人有权终止承包合同，并追究由此引起的一切责任。</w:t>
            </w:r>
          </w:p>
          <w:p>
            <w:pPr>
              <w:spacing w:line="400" w:lineRule="exact"/>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10.11.</w:t>
            </w:r>
            <w:r>
              <w:rPr>
                <w:rFonts w:hint="eastAsia"/>
                <w:color w:val="000000" w:themeColor="text1"/>
                <w:highlight w:val="none"/>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 xml:space="preserve"> </w:t>
            </w:r>
            <w:r>
              <w:rPr>
                <w:color w:val="000000" w:themeColor="text1"/>
                <w:highlight w:val="none"/>
                <w14:textFill>
                  <w14:solidFill>
                    <w14:schemeClr w14:val="tx1"/>
                  </w14:solidFill>
                </w14:textFill>
              </w:rPr>
              <w:t>中标人必须承担总包责任，</w:t>
            </w:r>
            <w:r>
              <w:rPr>
                <w:rFonts w:hint="eastAsia"/>
                <w:color w:val="000000" w:themeColor="text1"/>
                <w:highlight w:val="none"/>
                <w:lang w:val="en-US" w:eastAsia="zh-CN"/>
                <w14:textFill>
                  <w14:solidFill>
                    <w14:schemeClr w14:val="tx1"/>
                  </w14:solidFill>
                </w14:textFill>
              </w:rPr>
              <w:t>根据《房屋建筑和市政基础设施工程施工分包管理办法》住建部第19号令规定，</w:t>
            </w:r>
            <w:r>
              <w:rPr>
                <w:rFonts w:hint="eastAsia"/>
                <w:color w:val="000000" w:themeColor="text1"/>
                <w:highlight w:val="none"/>
                <w14:textFill>
                  <w14:solidFill>
                    <w14:schemeClr w14:val="tx1"/>
                  </w14:solidFill>
                </w14:textFill>
              </w:rPr>
              <w:t>在招标人的同意后方可将拟分包的工程承包给具有相应专业资质的施工单位进行施工，中标单位必须负责全权全方位管理工作。</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除招标人另有要求外，其他内容均不允许分包或转包，否则招标人有权终止合同另选施工单位。</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10.11.</w:t>
            </w:r>
            <w:r>
              <w:rPr>
                <w:rFonts w:hint="eastAsia"/>
                <w:color w:val="000000" w:themeColor="text1"/>
                <w:highlight w:val="none"/>
                <w14:textFill>
                  <w14:solidFill>
                    <w14:schemeClr w14:val="tx1"/>
                  </w14:solidFill>
                </w14:textFill>
              </w:rPr>
              <w:t>4</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投标人一旦中标，应保证按招标人的要求，迅速进场组织施工，且必须服从招标人的统一指挥与协调管理，遵守施工场地工作制度。</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10.11.</w:t>
            </w:r>
            <w:r>
              <w:rPr>
                <w:rFonts w:hint="eastAsia"/>
                <w:color w:val="000000" w:themeColor="text1"/>
                <w:highlight w:val="none"/>
                <w14:textFill>
                  <w14:solidFill>
                    <w14:schemeClr w14:val="tx1"/>
                  </w14:solidFill>
                </w14:textFill>
              </w:rPr>
              <w:t>5</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中标人在投标文件中拟派的项目经理、技术负责人必须与投标报名时一致，在施工过程中未经招标人同意不得更换。对不称职的施工管理人员，招标人有权要求中标人更换。</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中标人无故更换项目经理、技术负责人或项目经理、技术负责人连续缺岗10日以上时视为中标人违约。中标人违约时招标人有权解除合同。对不称职的项目经理、技术负责人和施工管理人员，招标人有权要求承包人更换。招标人对项目部管理机构领导工作不力且不能改变者，有权终止合同并另选施工队伍，中标人承担由此引发的所有费用。</w:t>
            </w:r>
          </w:p>
          <w:p>
            <w:pPr>
              <w:spacing w:line="360" w:lineRule="auto"/>
              <w:ind w:firstLine="420" w:firstLineChars="200"/>
              <w:rPr>
                <w:rFonts w:hint="default" w:eastAsia="宋体"/>
                <w:color w:val="000000" w:themeColor="text1"/>
                <w:highlight w:val="none"/>
                <w:lang w:val="en-US" w:eastAsia="zh-CN"/>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10.11.</w:t>
            </w:r>
            <w:r>
              <w:rPr>
                <w:rFonts w:hint="eastAsia"/>
                <w:color w:val="000000" w:themeColor="text1"/>
                <w:highlight w:val="none"/>
                <w14:textFill>
                  <w14:solidFill>
                    <w14:schemeClr w14:val="tx1"/>
                  </w14:solidFill>
                </w14:textFill>
              </w:rPr>
              <w:t>6</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中标的项目经理、技术负责人每周在现场不少于5个工作日，有事请假，</w:t>
            </w:r>
            <w:r>
              <w:rPr>
                <w:rFonts w:hint="eastAsia"/>
                <w:color w:val="000000" w:themeColor="text1"/>
                <w:highlight w:val="none"/>
                <w:lang w:val="en-US" w:eastAsia="zh-CN"/>
                <w14:textFill>
                  <w14:solidFill>
                    <w14:schemeClr w14:val="tx1"/>
                  </w14:solidFill>
                </w14:textFill>
              </w:rPr>
              <w:t>否则按现场管理规章制度给予处罚。</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10.11.</w:t>
            </w:r>
            <w:r>
              <w:rPr>
                <w:rFonts w:hint="eastAsia"/>
                <w:color w:val="000000" w:themeColor="text1"/>
                <w:highlight w:val="none"/>
                <w14:textFill>
                  <w14:solidFill>
                    <w14:schemeClr w14:val="tx1"/>
                  </w14:solidFill>
                </w14:textFill>
              </w:rPr>
              <w:t>7</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中标人须</w:t>
            </w:r>
            <w:r>
              <w:rPr>
                <w:rFonts w:hint="eastAsia"/>
                <w:color w:val="000000" w:themeColor="text1"/>
                <w:highlight w:val="none"/>
                <w:lang w:eastAsia="zh-CN"/>
                <w14:textFill>
                  <w14:solidFill>
                    <w14:schemeClr w14:val="tx1"/>
                  </w14:solidFill>
                </w14:textFill>
              </w:rPr>
              <w:t>按有关规定</w:t>
            </w:r>
            <w:r>
              <w:rPr>
                <w:rFonts w:hint="eastAsia"/>
                <w:color w:val="000000" w:themeColor="text1"/>
                <w:highlight w:val="none"/>
                <w14:textFill>
                  <w14:solidFill>
                    <w14:schemeClr w14:val="tx1"/>
                  </w14:solidFill>
                </w14:textFill>
              </w:rPr>
              <w:t>配置专职安全生产管理人员。专职安全生产管理人员是指经建设主管部门或者其他有关部门安全生产考核合格，并取得安全生产考核合格证书在企业从事安全生产管理工作的专职人员。</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10.11.</w:t>
            </w:r>
            <w:r>
              <w:rPr>
                <w:rFonts w:hint="eastAsia"/>
                <w:color w:val="000000" w:themeColor="text1"/>
                <w:highlight w:val="none"/>
                <w14:textFill>
                  <w14:solidFill>
                    <w14:schemeClr w14:val="tx1"/>
                  </w14:solidFill>
                </w14:textFill>
              </w:rPr>
              <w:t>8</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施工期间，中标人如不按合同、投标文件中承诺和招标文件规定的条件履行，招标人有权按违约处理。</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10.11.</w:t>
            </w:r>
            <w:r>
              <w:rPr>
                <w:rFonts w:hint="eastAsia"/>
                <w:color w:val="000000" w:themeColor="text1"/>
                <w:highlight w:val="none"/>
                <w14:textFill>
                  <w14:solidFill>
                    <w14:schemeClr w14:val="tx1"/>
                  </w14:solidFill>
                </w14:textFill>
              </w:rPr>
              <w:t>9</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中标人应服从建设单位、监理单位的监督管理，配合各责任主体完成职责范围内的工作。</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10.11.</w:t>
            </w:r>
            <w:r>
              <w:rPr>
                <w:rFonts w:hint="eastAsia"/>
                <w:color w:val="000000" w:themeColor="text1"/>
                <w:highlight w:val="none"/>
                <w14:textFill>
                  <w14:solidFill>
                    <w14:schemeClr w14:val="tx1"/>
                  </w14:solidFill>
                </w14:textFill>
              </w:rPr>
              <w:t>10</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中标人负责在工程建设中工农关系等方面的协调，并承担由此产生的费用。</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10.11.</w:t>
            </w:r>
            <w:r>
              <w:rPr>
                <w:rFonts w:hint="eastAsia"/>
                <w:color w:val="000000" w:themeColor="text1"/>
                <w:highlight w:val="none"/>
                <w14:textFill>
                  <w14:solidFill>
                    <w14:schemeClr w14:val="tx1"/>
                  </w14:solidFill>
                </w14:textFill>
              </w:rPr>
              <w:t>11</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本招标文件中未规定的项目，由招标人与中标人在签订施工承包合同进行约定或按发生时的实际情况由招标人代表和监理工程师共同签字认可，并按前述约定结算。</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10.11.</w:t>
            </w:r>
            <w:r>
              <w:rPr>
                <w:rFonts w:hint="eastAsia"/>
                <w:color w:val="000000" w:themeColor="text1"/>
                <w:highlight w:val="none"/>
                <w14:textFill>
                  <w14:solidFill>
                    <w14:schemeClr w14:val="tx1"/>
                  </w14:solidFill>
                </w14:textFill>
              </w:rPr>
              <w:t>12</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中标人在投标阶段或施工过程中出现安全、质量事故，拖欠农民工工资现象或有不良行为记录，招标人有权取消其中标资格、解除施工合同，中标人自行承担以上原因所形成之全部责任，并负责赔偿由此给招标人造成的一切损失。</w:t>
            </w:r>
          </w:p>
          <w:p>
            <w:pPr>
              <w:spacing w:line="360" w:lineRule="auto"/>
              <w:ind w:firstLine="420" w:firstLineChars="20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10.11.13 </w:t>
            </w:r>
            <w:r>
              <w:rPr>
                <w:rFonts w:hint="eastAsia"/>
                <w:color w:val="000000" w:themeColor="text1"/>
                <w:highlight w:val="none"/>
                <w14:textFill>
                  <w14:solidFill>
                    <w14:schemeClr w14:val="tx1"/>
                  </w14:solidFill>
                </w14:textFill>
              </w:rPr>
              <w:t>竣工验收后，施工单位应向招标人提供整理成册的竣工归档资料、竣工图纸一式</w:t>
            </w:r>
            <w:r>
              <w:rPr>
                <w:rFonts w:hint="eastAsia"/>
                <w:color w:val="000000" w:themeColor="text1"/>
                <w:highlight w:val="none"/>
                <w:lang w:val="en-US" w:eastAsia="zh-CN"/>
                <w14:textFill>
                  <w14:solidFill>
                    <w14:schemeClr w14:val="tx1"/>
                  </w14:solidFill>
                </w14:textFill>
              </w:rPr>
              <w:t>四套</w:t>
            </w:r>
            <w:r>
              <w:rPr>
                <w:rFonts w:hint="eastAsia"/>
                <w:color w:val="000000" w:themeColor="text1"/>
                <w:highlight w:val="none"/>
                <w14:textFill>
                  <w14:solidFill>
                    <w14:schemeClr w14:val="tx1"/>
                  </w14:solidFill>
                </w14:textFill>
              </w:rPr>
              <w:t>，并确保竣工资料真实、 准确、齐全、完整。</w:t>
            </w:r>
          </w:p>
          <w:p>
            <w:pPr>
              <w:spacing w:line="360" w:lineRule="auto"/>
              <w:ind w:firstLine="420" w:firstLineChars="20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10.11.14缺陷责任期：两年。在缺陷责任期内如出现施工质量 缺陷或由于施工质量而引起的纠纷，应由中标人承担责任 及损失。缺陷责任期满后，如工程出现质量事故，将按有 关规定进行调查、分析，中标人应承担相关责任。</w:t>
            </w:r>
          </w:p>
          <w:p>
            <w:pPr>
              <w:pStyle w:val="2"/>
              <w:ind w:firstLine="420" w:firstLineChars="200"/>
              <w:rPr>
                <w:rFonts w:hint="default"/>
                <w:lang w:val="en-US" w:eastAsia="zh-CN"/>
              </w:rPr>
            </w:pPr>
            <w:r>
              <w:rPr>
                <w:rFonts w:hint="eastAsia"/>
                <w:color w:val="000000" w:themeColor="text1"/>
                <w:highlight w:val="none"/>
                <w:lang w:val="en-US" w:eastAsia="zh-CN"/>
                <w14:textFill>
                  <w14:solidFill>
                    <w14:schemeClr w14:val="tx1"/>
                  </w14:solidFill>
                </w14:textFill>
              </w:rPr>
              <w:t>10.11.15为保证工程质量，本项目主要材料及装饰材料在采购时需甲乙双方共同认定，价格按照本项目招标控制价编制依据执行。</w:t>
            </w:r>
          </w:p>
          <w:p>
            <w:pPr>
              <w:pStyle w:val="5"/>
              <w:keepNext w:val="0"/>
              <w:keepLines w:val="0"/>
              <w:pageBreakBefore w:val="0"/>
              <w:widowControl w:val="0"/>
              <w:kinsoku/>
              <w:wordWrap/>
              <w:overflowPunct w:val="0"/>
              <w:topLinePunct w:val="0"/>
              <w:autoSpaceDE/>
              <w:autoSpaceDN/>
              <w:bidi w:val="0"/>
              <w:adjustRightInd w:val="0"/>
              <w:snapToGrid/>
              <w:spacing w:after="0" w:line="380" w:lineRule="exact"/>
              <w:ind w:left="0" w:leftChars="0" w:firstLine="562" w:firstLineChars="200"/>
              <w:rPr>
                <w:rFonts w:hint="eastAsia" w:cs="Times New Roman"/>
                <w:color w:val="000000" w:themeColor="text1"/>
                <w:kern w:val="2"/>
                <w:sz w:val="21"/>
                <w:szCs w:val="24"/>
                <w:highlight w:val="none"/>
                <w:lang w:val="en-US" w:eastAsia="zh-CN" w:bidi="ar-SA"/>
                <w14:textFill>
                  <w14:solidFill>
                    <w14:schemeClr w14:val="tx1"/>
                  </w14:solidFill>
                </w14:textFill>
              </w:rPr>
            </w:pPr>
            <w:r>
              <w:rPr>
                <w:rFonts w:hint="eastAsia"/>
                <w:b/>
                <w:bCs/>
                <w:color w:val="000000" w:themeColor="text1"/>
                <w:sz w:val="28"/>
                <w:szCs w:val="28"/>
                <w:highlight w:val="none"/>
                <w:lang w:val="en-US" w:eastAsia="zh-CN"/>
                <w14:textFill>
                  <w14:solidFill>
                    <w14:schemeClr w14:val="tx1"/>
                  </w14:solidFill>
                </w14:textFill>
              </w:rPr>
              <w:t>说明：</w:t>
            </w:r>
            <w:r>
              <w:rPr>
                <w:rFonts w:hint="eastAsia"/>
                <w:b/>
                <w:bCs/>
                <w:color w:val="000000" w:themeColor="text1"/>
                <w:sz w:val="28"/>
                <w:szCs w:val="28"/>
                <w:highlight w:val="none"/>
                <w14:textFill>
                  <w14:solidFill>
                    <w14:schemeClr w14:val="tx1"/>
                  </w14:solidFill>
                </w14:textFill>
              </w:rPr>
              <w:t>投标人应对上述</w:t>
            </w:r>
            <w:r>
              <w:rPr>
                <w:rFonts w:hint="eastAsia"/>
                <w:b/>
                <w:bCs/>
                <w:color w:val="000000" w:themeColor="text1"/>
                <w:sz w:val="28"/>
                <w:szCs w:val="28"/>
                <w:highlight w:val="none"/>
                <w:lang w:val="en-US" w:eastAsia="zh-CN"/>
                <w14:textFill>
                  <w14:solidFill>
                    <w14:schemeClr w14:val="tx1"/>
                  </w14:solidFill>
                </w14:textFill>
              </w:rPr>
              <w:t>10.11.1至10.11.7</w:t>
            </w:r>
            <w:r>
              <w:rPr>
                <w:rFonts w:hint="eastAsia"/>
                <w:b/>
                <w:bCs/>
                <w:color w:val="000000" w:themeColor="text1"/>
                <w:sz w:val="28"/>
                <w:szCs w:val="28"/>
                <w:highlight w:val="none"/>
                <w14:textFill>
                  <w14:solidFill>
                    <w14:schemeClr w14:val="tx1"/>
                  </w14:solidFill>
                </w14:textFill>
              </w:rPr>
              <w:t>条所有内容</w:t>
            </w:r>
            <w:r>
              <w:rPr>
                <w:rFonts w:hint="eastAsia"/>
                <w:b/>
                <w:bCs/>
                <w:color w:val="000000" w:themeColor="text1"/>
                <w:sz w:val="28"/>
                <w:szCs w:val="28"/>
                <w:highlight w:val="none"/>
                <w:lang w:val="en-US" w:eastAsia="zh-CN"/>
                <w14:textFill>
                  <w14:solidFill>
                    <w14:schemeClr w14:val="tx1"/>
                  </w14:solidFill>
                </w14:textFill>
              </w:rPr>
              <w:t>逐条全文承诺，承诺条件必须优于或等于招标文件要求，投标人若没有作出相应承诺，评标委员会将以实质上未响应招标人要求否决其投标。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9779" w:type="dxa"/>
            <w:gridSpan w:val="3"/>
            <w:tcBorders>
              <w:tl2br w:val="nil"/>
              <w:tr2bl w:val="nil"/>
            </w:tcBorders>
            <w:vAlign w:val="center"/>
          </w:tcPr>
          <w:p>
            <w:pPr>
              <w:pStyle w:val="5"/>
              <w:keepNext w:val="0"/>
              <w:keepLines w:val="0"/>
              <w:pageBreakBefore w:val="0"/>
              <w:widowControl w:val="0"/>
              <w:kinsoku/>
              <w:wordWrap/>
              <w:overflowPunct w:val="0"/>
              <w:topLinePunct w:val="0"/>
              <w:autoSpaceDE/>
              <w:autoSpaceDN/>
              <w:bidi w:val="0"/>
              <w:adjustRightInd w:val="0"/>
              <w:snapToGrid/>
              <w:spacing w:after="0" w:line="380" w:lineRule="exact"/>
              <w:ind w:left="0" w:leftChars="0" w:firstLine="0" w:firstLineChars="0"/>
              <w:rPr>
                <w:rFonts w:hint="eastAsia" w:ascii="Times New Roman" w:hAnsi="Times New Roman" w:eastAsia="宋体" w:cs="Times New Roman"/>
                <w:color w:val="0070C0"/>
                <w:kern w:val="2"/>
                <w:sz w:val="21"/>
                <w:szCs w:val="24"/>
                <w:highlight w:val="none"/>
                <w:lang w:val="en-US" w:eastAsia="zh-CN" w:bidi="ar-SA"/>
              </w:rPr>
            </w:pPr>
            <w:r>
              <w:rPr>
                <w:rFonts w:hint="eastAsia" w:cs="Times New Roman"/>
                <w:kern w:val="2"/>
                <w:sz w:val="21"/>
                <w:szCs w:val="24"/>
                <w:highlight w:val="none"/>
                <w:lang w:val="en-US" w:eastAsia="zh-CN" w:bidi="ar-SA"/>
              </w:rPr>
              <w:t xml:space="preserve">10.12   </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全省房屋建筑和市政基础设施工程建设领堿推行劳务用工实名制管理内容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9779" w:type="dxa"/>
            <w:gridSpan w:val="3"/>
            <w:tcBorders>
              <w:tl2br w:val="nil"/>
              <w:tr2bl w:val="nil"/>
            </w:tcBorders>
            <w:vAlign w:val="center"/>
          </w:tcPr>
          <w:p>
            <w:pPr>
              <w:spacing w:line="312" w:lineRule="auto"/>
              <w:rPr>
                <w:rFonts w:hint="eastAsia" w:ascii="Times New Roman" w:hAnsi="Times New Roman" w:eastAsia="宋体" w:cs="Times New Roman"/>
                <w:color w:val="0070C0"/>
                <w:kern w:val="2"/>
                <w:sz w:val="21"/>
                <w:szCs w:val="24"/>
                <w:highlight w:val="none"/>
                <w:lang w:val="en-US" w:eastAsia="zh-CN" w:bidi="ar-SA"/>
              </w:rPr>
            </w:pPr>
            <w:r>
              <w:rPr>
                <w:rFonts w:hint="eastAsia" w:cs="Times New Roman"/>
                <w:kern w:val="2"/>
                <w:sz w:val="21"/>
                <w:szCs w:val="24"/>
                <w:highlight w:val="none"/>
                <w:lang w:val="en-US" w:eastAsia="zh-CN" w:bidi="ar-SA"/>
              </w:rPr>
              <w:t>10.13</w:t>
            </w:r>
            <w:r>
              <w:rPr>
                <w:rFonts w:hint="eastAsia" w:cs="Times New Roman"/>
                <w:color w:val="000000" w:themeColor="text1"/>
                <w:kern w:val="2"/>
                <w:sz w:val="21"/>
                <w:szCs w:val="24"/>
                <w:highlight w:val="none"/>
                <w:lang w:val="en-US" w:eastAsia="zh-CN" w:bidi="ar-SA"/>
                <w14:textFill>
                  <w14:solidFill>
                    <w14:schemeClr w14:val="tx1"/>
                  </w14:solidFill>
                </w14:textFill>
              </w:rPr>
              <w:t xml:space="preserve">  </w:t>
            </w:r>
            <w:r>
              <w:rPr>
                <w:rFonts w:hint="eastAsia" w:ascii="宋体" w:eastAsia="宋体" w:cs="宋体"/>
                <w:color w:val="000000" w:themeColor="text1"/>
                <w:spacing w:val="0"/>
                <w:w w:val="100"/>
                <w:sz w:val="21"/>
                <w:szCs w:val="21"/>
                <w:highlight w:val="none"/>
                <w:lang w:bidi="ar-SA"/>
                <w14:textFill>
                  <w14:solidFill>
                    <w14:schemeClr w14:val="tx1"/>
                  </w14:solidFill>
                </w14:textFill>
              </w:rPr>
              <w:t>其</w:t>
            </w:r>
            <w:r>
              <w:rPr>
                <w:rFonts w:hint="eastAsia" w:ascii="宋体" w:eastAsia="宋体" w:cs="宋体"/>
                <w:color w:val="000000" w:themeColor="text1"/>
                <w:spacing w:val="2"/>
                <w:w w:val="100"/>
                <w:sz w:val="21"/>
                <w:szCs w:val="21"/>
                <w:highlight w:val="none"/>
                <w:lang w:bidi="ar-SA"/>
                <w14:textFill>
                  <w14:solidFill>
                    <w14:schemeClr w14:val="tx1"/>
                  </w14:solidFill>
                </w14:textFill>
              </w:rPr>
              <w:t>它</w:t>
            </w:r>
            <w:r>
              <w:rPr>
                <w:rFonts w:hint="eastAsia" w:ascii="宋体" w:eastAsia="宋体" w:cs="宋体"/>
                <w:color w:val="000000" w:themeColor="text1"/>
                <w:spacing w:val="0"/>
                <w:w w:val="100"/>
                <w:sz w:val="21"/>
                <w:szCs w:val="21"/>
                <w:highlight w:val="none"/>
                <w:lang w:bidi="ar-SA"/>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19" w:type="dxa"/>
            <w:tcBorders>
              <w:tl2br w:val="nil"/>
              <w:tr2bl w:val="nil"/>
            </w:tcBorders>
            <w:vAlign w:val="center"/>
          </w:tcPr>
          <w:p>
            <w:pPr>
              <w:spacing w:line="312" w:lineRule="auto"/>
              <w:rPr>
                <w:rFonts w:hint="eastAsia" w:cs="Times New Roman"/>
                <w:kern w:val="2"/>
                <w:sz w:val="21"/>
                <w:szCs w:val="24"/>
                <w:highlight w:val="none"/>
                <w:lang w:val="en-US" w:eastAsia="zh-CN" w:bidi="ar-SA"/>
              </w:rPr>
            </w:pPr>
          </w:p>
        </w:tc>
        <w:tc>
          <w:tcPr>
            <w:tcW w:w="8960" w:type="dxa"/>
            <w:gridSpan w:val="2"/>
            <w:tcBorders>
              <w:tl2br w:val="nil"/>
              <w:tr2bl w:val="nil"/>
            </w:tcBorders>
            <w:vAlign w:val="center"/>
          </w:tcPr>
          <w:p>
            <w:pPr>
              <w:pStyle w:val="2"/>
              <w:ind w:left="0" w:leftChars="0" w:firstLine="0" w:firstLineChars="0"/>
              <w:rPr>
                <w:rFonts w:hint="eastAsia"/>
                <w:highlight w:val="none"/>
                <w:lang w:val="en-US" w:eastAsia="zh-CN"/>
              </w:rPr>
            </w:pPr>
            <w:r>
              <w:rPr>
                <w:rFonts w:hint="eastAsia"/>
                <w:highlight w:val="none"/>
                <w:lang w:val="en-US" w:eastAsia="zh-CN"/>
              </w:rPr>
              <w:t>本项目招标代理费参照照发改价格【2015】299号文件及发改办价[2011]534号文规定，由中标人向招标代理机构支付费用。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2" w:hRule="atLeast"/>
        </w:trPr>
        <w:tc>
          <w:tcPr>
            <w:tcW w:w="9779" w:type="dxa"/>
            <w:gridSpan w:val="3"/>
            <w:tcBorders>
              <w:tl2br w:val="nil"/>
              <w:tr2bl w:val="nil"/>
            </w:tcBorders>
            <w:vAlign w:val="center"/>
          </w:tcPr>
          <w:p>
            <w:pPr>
              <w:spacing w:line="400" w:lineRule="exact"/>
              <w:ind w:firstLine="420" w:firstLineChars="200"/>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10.14   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8" w:hRule="atLeast"/>
        </w:trPr>
        <w:tc>
          <w:tcPr>
            <w:tcW w:w="819" w:type="dxa"/>
            <w:tcBorders>
              <w:tl2br w:val="nil"/>
              <w:tr2bl w:val="nil"/>
            </w:tcBorders>
            <w:vAlign w:val="center"/>
          </w:tcPr>
          <w:p>
            <w:pPr>
              <w:autoSpaceDE w:val="0"/>
              <w:autoSpaceDN w:val="0"/>
              <w:adjustRightInd w:val="0"/>
              <w:spacing w:before="50"/>
              <w:ind w:right="35"/>
              <w:jc w:val="center"/>
              <w:rPr>
                <w:rFonts w:hint="eastAsia" w:ascii="宋体" w:cs="宋体"/>
                <w:color w:val="000000" w:themeColor="text1"/>
                <w:spacing w:val="1"/>
                <w:kern w:val="0"/>
                <w:szCs w:val="21"/>
                <w:highlight w:val="none"/>
                <w:lang w:bidi="ar-SA"/>
                <w14:textFill>
                  <w14:solidFill>
                    <w14:schemeClr w14:val="tx1"/>
                  </w14:solidFill>
                </w14:textFill>
              </w:rPr>
            </w:pPr>
          </w:p>
        </w:tc>
        <w:tc>
          <w:tcPr>
            <w:tcW w:w="8960" w:type="dxa"/>
            <w:gridSpan w:val="2"/>
            <w:tcBorders>
              <w:tl2br w:val="nil"/>
              <w:tr2bl w:val="nil"/>
            </w:tcBorders>
            <w:vAlign w:val="center"/>
          </w:tcPr>
          <w:p>
            <w:pPr>
              <w:keepNext w:val="0"/>
              <w:keepLines w:val="0"/>
              <w:pageBreakBefore w:val="0"/>
              <w:widowControl w:val="0"/>
              <w:kinsoku/>
              <w:wordWrap/>
              <w:topLinePunct w:val="0"/>
              <w:autoSpaceDE/>
              <w:autoSpaceDN/>
              <w:bidi w:val="0"/>
              <w:snapToGrid/>
              <w:spacing w:line="380" w:lineRule="exact"/>
              <w:ind w:left="116" w:right="385" w:firstLine="401"/>
              <w:jc w:val="left"/>
              <w:rPr>
                <w:rFonts w:hint="eastAsia" w:ascii="宋体" w:eastAsia="宋体" w:cs="宋体"/>
                <w:color w:val="000000" w:themeColor="text1"/>
                <w:spacing w:val="2"/>
                <w:w w:val="100"/>
                <w:sz w:val="21"/>
                <w:szCs w:val="21"/>
                <w:highlight w:val="none"/>
                <w:u w:val="none"/>
                <w:lang w:val="en-US" w:eastAsia="zh-CN" w:bidi="ar-SA"/>
                <w14:textFill>
                  <w14:solidFill>
                    <w14:schemeClr w14:val="tx1"/>
                  </w14:solidFill>
                </w14:textFill>
              </w:rPr>
            </w:pPr>
            <w:r>
              <w:rPr>
                <w:rFonts w:hint="eastAsia" w:ascii="宋体" w:eastAsia="宋体" w:cs="宋体"/>
                <w:color w:val="000000" w:themeColor="text1"/>
                <w:spacing w:val="2"/>
                <w:w w:val="100"/>
                <w:sz w:val="21"/>
                <w:szCs w:val="21"/>
                <w:highlight w:val="none"/>
                <w:lang w:val="en-US" w:eastAsia="zh-CN" w:bidi="ar-SA"/>
                <w14:textFill>
                  <w14:solidFill>
                    <w14:schemeClr w14:val="tx1"/>
                  </w14:solidFill>
                </w14:textFill>
              </w:rPr>
              <w:t>1、关于变更的范围的约定：</w:t>
            </w:r>
            <w:r>
              <w:rPr>
                <w:rFonts w:hint="eastAsia" w:ascii="宋体" w:eastAsia="宋体" w:cs="宋体"/>
                <w:color w:val="000000" w:themeColor="text1"/>
                <w:spacing w:val="2"/>
                <w:w w:val="100"/>
                <w:sz w:val="21"/>
                <w:szCs w:val="21"/>
                <w:highlight w:val="none"/>
                <w:u w:val="none"/>
                <w:lang w:val="en-US" w:eastAsia="zh-CN" w:bidi="ar-SA"/>
                <w14:textFill>
                  <w14:solidFill>
                    <w14:schemeClr w14:val="tx1"/>
                  </w14:solidFill>
                </w14:textFill>
              </w:rPr>
              <w:t>施工图纸、</w:t>
            </w:r>
            <w:r>
              <w:rPr>
                <w:rFonts w:hint="eastAsia" w:ascii="宋体" w:cs="宋体"/>
                <w:color w:val="000000" w:themeColor="text1"/>
                <w:spacing w:val="2"/>
                <w:w w:val="100"/>
                <w:sz w:val="21"/>
                <w:szCs w:val="21"/>
                <w:highlight w:val="none"/>
                <w:u w:val="none"/>
                <w:lang w:val="en-US" w:eastAsia="zh-CN" w:bidi="ar-SA"/>
                <w14:textFill>
                  <w14:solidFill>
                    <w14:schemeClr w14:val="tx1"/>
                  </w14:solidFill>
                </w14:textFill>
              </w:rPr>
              <w:t>图纸答疑、</w:t>
            </w:r>
            <w:r>
              <w:rPr>
                <w:rFonts w:hint="eastAsia" w:ascii="宋体" w:eastAsia="宋体" w:cs="宋体"/>
                <w:color w:val="000000" w:themeColor="text1"/>
                <w:spacing w:val="2"/>
                <w:w w:val="100"/>
                <w:sz w:val="21"/>
                <w:szCs w:val="21"/>
                <w:highlight w:val="none"/>
                <w:u w:val="none"/>
                <w:lang w:val="en-US" w:eastAsia="zh-CN" w:bidi="ar-SA"/>
                <w14:textFill>
                  <w14:solidFill>
                    <w14:schemeClr w14:val="tx1"/>
                  </w14:solidFill>
                </w14:textFill>
              </w:rPr>
              <w:t>施工图审查文件、招标工程量清单、投标文件之外。</w:t>
            </w:r>
          </w:p>
          <w:p>
            <w:pPr>
              <w:keepNext w:val="0"/>
              <w:keepLines w:val="0"/>
              <w:pageBreakBefore w:val="0"/>
              <w:widowControl w:val="0"/>
              <w:kinsoku/>
              <w:wordWrap/>
              <w:topLinePunct w:val="0"/>
              <w:autoSpaceDE/>
              <w:autoSpaceDN/>
              <w:bidi w:val="0"/>
              <w:snapToGrid/>
              <w:spacing w:line="380" w:lineRule="exact"/>
              <w:ind w:left="116" w:right="385" w:firstLine="401"/>
              <w:jc w:val="left"/>
              <w:rPr>
                <w:rFonts w:hint="eastAsia"/>
                <w:color w:val="000000" w:themeColor="text1"/>
                <w:highlight w:val="none"/>
                <w:lang w:eastAsia="zh-CN"/>
                <w14:textFill>
                  <w14:solidFill>
                    <w14:schemeClr w14:val="tx1"/>
                  </w14:solidFill>
                </w14:textFill>
              </w:rPr>
            </w:pPr>
            <w:r>
              <w:rPr>
                <w:rFonts w:hint="eastAsia" w:ascii="宋体" w:eastAsia="宋体" w:cs="宋体"/>
                <w:color w:val="000000" w:themeColor="text1"/>
                <w:spacing w:val="2"/>
                <w:w w:val="100"/>
                <w:sz w:val="21"/>
                <w:szCs w:val="21"/>
                <w:highlight w:val="none"/>
                <w:u w:val="none"/>
                <w:lang w:val="en-US" w:eastAsia="zh-CN" w:bidi="ar-SA"/>
                <w14:textFill>
                  <w14:solidFill>
                    <w14:schemeClr w14:val="tx1"/>
                  </w14:solidFill>
                </w14:textFill>
              </w:rPr>
              <w:t>2、关于变更估价的约定：以招标文件为准。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trPr>
        <w:tc>
          <w:tcPr>
            <w:tcW w:w="819" w:type="dxa"/>
            <w:tcBorders>
              <w:tl2br w:val="nil"/>
              <w:tr2bl w:val="nil"/>
            </w:tcBorders>
            <w:vAlign w:val="center"/>
          </w:tcPr>
          <w:p>
            <w:pPr>
              <w:autoSpaceDE w:val="0"/>
              <w:autoSpaceDN w:val="0"/>
              <w:adjustRightInd w:val="0"/>
              <w:spacing w:line="360" w:lineRule="auto"/>
              <w:jc w:val="center"/>
              <w:rPr>
                <w:rFonts w:hint="eastAsia" w:ascii="宋体" w:cs="宋体"/>
                <w:color w:val="000000" w:themeColor="text1"/>
                <w:spacing w:val="1"/>
                <w:kern w:val="0"/>
                <w:szCs w:val="21"/>
                <w:highlight w:val="none"/>
                <w:lang w:bidi="ar-SA"/>
                <w14:textFill>
                  <w14:solidFill>
                    <w14:schemeClr w14:val="tx1"/>
                  </w14:solidFill>
                </w14:textFill>
              </w:rPr>
            </w:pPr>
            <w:r>
              <w:rPr>
                <w:rFonts w:hint="eastAsia" w:ascii="宋体" w:cs="宋体"/>
                <w:color w:val="000000" w:themeColor="text1"/>
                <w:kern w:val="0"/>
                <w:szCs w:val="21"/>
                <w:highlight w:val="none"/>
                <w:lang w:bidi="ar-SA"/>
                <w14:textFill>
                  <w14:solidFill>
                    <w14:schemeClr w14:val="tx1"/>
                  </w14:solidFill>
                </w14:textFill>
              </w:rPr>
              <w:t>说明</w:t>
            </w:r>
          </w:p>
        </w:tc>
        <w:tc>
          <w:tcPr>
            <w:tcW w:w="8960" w:type="dxa"/>
            <w:gridSpan w:val="2"/>
            <w:tcBorders>
              <w:tl2br w:val="nil"/>
              <w:tr2bl w:val="nil"/>
            </w:tcBorders>
            <w:vAlign w:val="center"/>
          </w:tcPr>
          <w:p>
            <w:pPr>
              <w:pStyle w:val="5"/>
              <w:keepNext w:val="0"/>
              <w:keepLines w:val="0"/>
              <w:pageBreakBefore w:val="0"/>
              <w:widowControl w:val="0"/>
              <w:numPr>
                <w:ilvl w:val="0"/>
                <w:numId w:val="0"/>
              </w:numPr>
              <w:kinsoku/>
              <w:wordWrap/>
              <w:overflowPunct w:val="0"/>
              <w:topLinePunct w:val="0"/>
              <w:autoSpaceDE/>
              <w:autoSpaceDN/>
              <w:bidi w:val="0"/>
              <w:adjustRightInd w:val="0"/>
              <w:snapToGrid/>
              <w:spacing w:after="0" w:line="380" w:lineRule="exact"/>
              <w:ind w:leftChars="0"/>
              <w:rPr>
                <w:rFonts w:hint="default" w:ascii="宋体" w:eastAsia="宋体" w:cs="宋体"/>
                <w:color w:val="000000" w:themeColor="text1"/>
                <w:spacing w:val="0"/>
                <w:w w:val="100"/>
                <w:sz w:val="21"/>
                <w:szCs w:val="21"/>
                <w:highlight w:val="none"/>
                <w:lang w:val="en-US" w:eastAsia="zh-CN" w:bidi="ar-SA"/>
                <w14:textFill>
                  <w14:solidFill>
                    <w14:schemeClr w14:val="tx1"/>
                  </w14:solidFill>
                </w14:textFill>
              </w:rPr>
            </w:pPr>
            <w:r>
              <w:rPr>
                <w:rFonts w:hint="eastAsia" w:ascii="宋体" w:eastAsia="宋体" w:cs="宋体"/>
                <w:color w:val="000000" w:themeColor="text1"/>
                <w:spacing w:val="0"/>
                <w:w w:val="100"/>
                <w:sz w:val="21"/>
                <w:szCs w:val="21"/>
                <w:highlight w:val="none"/>
                <w:lang w:val="en-US" w:eastAsia="zh-CN" w:bidi="ar-SA"/>
                <w14:textFill>
                  <w14:solidFill>
                    <w14:schemeClr w14:val="tx1"/>
                  </w14:solidFill>
                </w14:textFill>
              </w:rPr>
              <w:t>本表中内容与本招标文件其他处（评标办法除外）要求内容不一致的，以本表内容为准。</w:t>
            </w:r>
          </w:p>
        </w:tc>
      </w:tr>
    </w:tbl>
    <w:p>
      <w:pPr>
        <w:rPr>
          <w:rFonts w:hint="eastAsia" w:ascii="Times New Roman" w:hAnsi="Times New Roman" w:eastAsia="宋体" w:cs="Times New Roman"/>
          <w:kern w:val="2"/>
          <w:sz w:val="21"/>
          <w:szCs w:val="24"/>
          <w:highlight w:val="none"/>
          <w:lang w:val="en-US" w:eastAsia="zh-CN" w:bidi="ar-SA"/>
        </w:rPr>
      </w:pPr>
    </w:p>
    <w:p>
      <w:pPr>
        <w:rPr>
          <w:rFonts w:hint="eastAsia" w:eastAsia="宋体"/>
          <w:color w:val="auto"/>
          <w:sz w:val="21"/>
          <w:szCs w:val="21"/>
          <w:highlight w:val="none"/>
        </w:rPr>
      </w:pPr>
      <w:r>
        <w:rPr>
          <w:rFonts w:hint="eastAsia" w:eastAsia="宋体"/>
          <w:color w:val="auto"/>
          <w:sz w:val="21"/>
          <w:szCs w:val="21"/>
          <w:highlight w:val="none"/>
        </w:rPr>
        <w:br w:type="page"/>
      </w:r>
    </w:p>
    <w:p>
      <w:pPr>
        <w:pStyle w:val="26"/>
        <w:spacing w:line="360" w:lineRule="auto"/>
        <w:outlineLvl w:val="1"/>
        <w:rPr>
          <w:rFonts w:eastAsia="宋体"/>
          <w:b/>
          <w:bCs/>
          <w:color w:val="auto"/>
          <w:sz w:val="24"/>
          <w:szCs w:val="24"/>
          <w:highlight w:val="none"/>
        </w:rPr>
      </w:pPr>
      <w:r>
        <w:rPr>
          <w:rFonts w:hint="eastAsia" w:eastAsia="宋体"/>
          <w:b/>
          <w:bCs/>
          <w:color w:val="auto"/>
          <w:sz w:val="24"/>
          <w:szCs w:val="24"/>
          <w:highlight w:val="none"/>
        </w:rPr>
        <w:t xml:space="preserve"> </w:t>
      </w:r>
      <w:bookmarkStart w:id="14" w:name="_Toc5506"/>
      <w:r>
        <w:rPr>
          <w:rFonts w:hint="eastAsia" w:eastAsia="宋体"/>
          <w:b/>
          <w:bCs/>
          <w:color w:val="auto"/>
          <w:sz w:val="24"/>
          <w:szCs w:val="24"/>
          <w:highlight w:val="none"/>
        </w:rPr>
        <w:t>1. 总则</w:t>
      </w:r>
      <w:bookmarkEnd w:id="14"/>
    </w:p>
    <w:p>
      <w:pPr>
        <w:pStyle w:val="26"/>
        <w:spacing w:line="360" w:lineRule="auto"/>
        <w:outlineLvl w:val="1"/>
        <w:rPr>
          <w:rFonts w:hint="eastAsia" w:eastAsia="宋体"/>
          <w:color w:val="auto"/>
          <w:sz w:val="21"/>
          <w:szCs w:val="21"/>
          <w:highlight w:val="none"/>
        </w:rPr>
      </w:pPr>
      <w:bookmarkStart w:id="15" w:name="_Toc152042306"/>
      <w:bookmarkStart w:id="16" w:name="_Toc152045530"/>
      <w:bookmarkStart w:id="17" w:name="_Toc144974498"/>
      <w:bookmarkStart w:id="18" w:name="_Toc179632547"/>
      <w:bookmarkStart w:id="19" w:name="_Toc6790"/>
    </w:p>
    <w:p>
      <w:pPr>
        <w:pStyle w:val="26"/>
        <w:spacing w:line="360" w:lineRule="auto"/>
        <w:outlineLvl w:val="1"/>
        <w:rPr>
          <w:rFonts w:eastAsia="宋体"/>
          <w:b/>
          <w:bCs/>
          <w:color w:val="auto"/>
          <w:sz w:val="21"/>
          <w:szCs w:val="21"/>
          <w:highlight w:val="none"/>
        </w:rPr>
      </w:pPr>
      <w:r>
        <w:rPr>
          <w:rFonts w:hint="eastAsia" w:eastAsia="宋体"/>
          <w:b/>
          <w:bCs/>
          <w:color w:val="auto"/>
          <w:sz w:val="21"/>
          <w:szCs w:val="21"/>
          <w:highlight w:val="none"/>
        </w:rPr>
        <w:t>1.1 项目概况</w:t>
      </w:r>
      <w:bookmarkEnd w:id="15"/>
      <w:bookmarkEnd w:id="16"/>
      <w:bookmarkEnd w:id="17"/>
      <w:bookmarkEnd w:id="18"/>
      <w:bookmarkEnd w:id="19"/>
    </w:p>
    <w:p>
      <w:pPr>
        <w:pStyle w:val="26"/>
        <w:spacing w:line="360" w:lineRule="auto"/>
        <w:ind w:firstLine="420" w:firstLineChars="200"/>
        <w:outlineLvl w:val="1"/>
        <w:rPr>
          <w:rFonts w:eastAsia="宋体"/>
          <w:color w:val="auto"/>
          <w:sz w:val="21"/>
          <w:szCs w:val="21"/>
          <w:highlight w:val="none"/>
        </w:rPr>
      </w:pPr>
      <w:bookmarkStart w:id="20" w:name="_Toc14756"/>
      <w:r>
        <w:rPr>
          <w:rFonts w:hint="eastAsia" w:eastAsia="宋体"/>
          <w:color w:val="auto"/>
          <w:sz w:val="21"/>
          <w:szCs w:val="21"/>
          <w:highlight w:val="none"/>
        </w:rPr>
        <w:t>1.1.1根据《中华人民共和国招标投标法》等有关法律、法规和规章的规定，本招标项目已具备招标条件，现对本项目施工进行公开招标。</w:t>
      </w:r>
      <w:bookmarkEnd w:id="20"/>
    </w:p>
    <w:p>
      <w:pPr>
        <w:pStyle w:val="26"/>
        <w:spacing w:line="360" w:lineRule="auto"/>
        <w:ind w:firstLine="420" w:firstLineChars="200"/>
        <w:outlineLvl w:val="1"/>
        <w:rPr>
          <w:rFonts w:eastAsia="宋体"/>
          <w:color w:val="auto"/>
          <w:sz w:val="21"/>
          <w:szCs w:val="21"/>
          <w:highlight w:val="none"/>
        </w:rPr>
      </w:pPr>
      <w:bookmarkStart w:id="21" w:name="_Toc3771"/>
      <w:r>
        <w:rPr>
          <w:rFonts w:hint="eastAsia" w:eastAsia="宋体"/>
          <w:color w:val="auto"/>
          <w:sz w:val="21"/>
          <w:szCs w:val="21"/>
          <w:highlight w:val="none"/>
        </w:rPr>
        <w:t>1.1.2 本招标项目招标人：见投标人须知前附表。</w:t>
      </w:r>
      <w:bookmarkEnd w:id="21"/>
    </w:p>
    <w:p>
      <w:pPr>
        <w:pStyle w:val="26"/>
        <w:spacing w:line="360" w:lineRule="auto"/>
        <w:ind w:firstLine="420" w:firstLineChars="200"/>
        <w:outlineLvl w:val="1"/>
        <w:rPr>
          <w:rFonts w:eastAsia="宋体"/>
          <w:color w:val="auto"/>
          <w:sz w:val="21"/>
          <w:szCs w:val="21"/>
          <w:highlight w:val="none"/>
        </w:rPr>
      </w:pPr>
      <w:bookmarkStart w:id="22" w:name="_Toc341"/>
      <w:r>
        <w:rPr>
          <w:rFonts w:hint="eastAsia" w:eastAsia="宋体"/>
          <w:color w:val="auto"/>
          <w:sz w:val="21"/>
          <w:szCs w:val="21"/>
          <w:highlight w:val="none"/>
        </w:rPr>
        <w:t>1.1.3 本项目招标代理机构：见投标人须知前附表。</w:t>
      </w:r>
      <w:bookmarkEnd w:id="22"/>
    </w:p>
    <w:p>
      <w:pPr>
        <w:pStyle w:val="26"/>
        <w:spacing w:line="360" w:lineRule="auto"/>
        <w:ind w:firstLine="420" w:firstLineChars="200"/>
        <w:outlineLvl w:val="1"/>
        <w:rPr>
          <w:rFonts w:eastAsia="宋体"/>
          <w:color w:val="auto"/>
          <w:sz w:val="21"/>
          <w:szCs w:val="21"/>
          <w:highlight w:val="none"/>
        </w:rPr>
      </w:pPr>
      <w:bookmarkStart w:id="23" w:name="_Toc30812"/>
      <w:r>
        <w:rPr>
          <w:rFonts w:hint="eastAsia" w:eastAsia="宋体"/>
          <w:color w:val="auto"/>
          <w:sz w:val="21"/>
          <w:szCs w:val="21"/>
          <w:highlight w:val="none"/>
        </w:rPr>
        <w:t>1.1.4 本招标项目名称：见投标人须知前附表。</w:t>
      </w:r>
      <w:bookmarkEnd w:id="23"/>
    </w:p>
    <w:p>
      <w:pPr>
        <w:pStyle w:val="26"/>
        <w:spacing w:line="360" w:lineRule="auto"/>
        <w:ind w:firstLine="420" w:firstLineChars="200"/>
        <w:outlineLvl w:val="1"/>
        <w:rPr>
          <w:rFonts w:eastAsia="宋体"/>
          <w:color w:val="auto"/>
          <w:sz w:val="21"/>
          <w:szCs w:val="21"/>
          <w:highlight w:val="none"/>
        </w:rPr>
      </w:pPr>
      <w:bookmarkStart w:id="24" w:name="_Toc31096"/>
      <w:r>
        <w:rPr>
          <w:rFonts w:hint="eastAsia" w:eastAsia="宋体"/>
          <w:color w:val="auto"/>
          <w:sz w:val="21"/>
          <w:szCs w:val="21"/>
          <w:highlight w:val="none"/>
        </w:rPr>
        <w:t>1.1.5 本项目建设地点：见投标人须知前附表。</w:t>
      </w:r>
      <w:bookmarkEnd w:id="24"/>
    </w:p>
    <w:p>
      <w:pPr>
        <w:pStyle w:val="26"/>
        <w:spacing w:line="360" w:lineRule="auto"/>
        <w:outlineLvl w:val="1"/>
        <w:rPr>
          <w:rFonts w:eastAsia="宋体"/>
          <w:b/>
          <w:bCs/>
          <w:color w:val="auto"/>
          <w:sz w:val="21"/>
          <w:szCs w:val="21"/>
          <w:highlight w:val="none"/>
        </w:rPr>
      </w:pPr>
      <w:bookmarkStart w:id="25" w:name="_Toc152045531"/>
      <w:bookmarkStart w:id="26" w:name="_Toc179632548"/>
      <w:bookmarkStart w:id="27" w:name="_Toc144974499"/>
      <w:bookmarkStart w:id="28" w:name="_Toc152042307"/>
      <w:bookmarkStart w:id="29" w:name="_Toc2944"/>
      <w:r>
        <w:rPr>
          <w:rFonts w:hint="eastAsia" w:eastAsia="宋体"/>
          <w:b/>
          <w:bCs/>
          <w:color w:val="auto"/>
          <w:sz w:val="21"/>
          <w:szCs w:val="21"/>
          <w:highlight w:val="none"/>
        </w:rPr>
        <w:t>1.2 资金来源和落实情况</w:t>
      </w:r>
      <w:bookmarkEnd w:id="25"/>
      <w:bookmarkEnd w:id="26"/>
      <w:bookmarkEnd w:id="27"/>
      <w:bookmarkEnd w:id="28"/>
      <w:bookmarkEnd w:id="29"/>
    </w:p>
    <w:p>
      <w:pPr>
        <w:pStyle w:val="26"/>
        <w:spacing w:line="360" w:lineRule="auto"/>
        <w:ind w:firstLine="420" w:firstLineChars="200"/>
        <w:outlineLvl w:val="1"/>
        <w:rPr>
          <w:rFonts w:eastAsia="宋体"/>
          <w:color w:val="auto"/>
          <w:sz w:val="21"/>
          <w:szCs w:val="21"/>
          <w:highlight w:val="none"/>
        </w:rPr>
      </w:pPr>
      <w:bookmarkStart w:id="30" w:name="_Toc32132"/>
      <w:r>
        <w:rPr>
          <w:rFonts w:hint="eastAsia" w:eastAsia="宋体"/>
          <w:color w:val="auto"/>
          <w:sz w:val="21"/>
          <w:szCs w:val="21"/>
          <w:highlight w:val="none"/>
        </w:rPr>
        <w:t>1.2.1 本招标项目的资金来源：见投标人须知前附表。</w:t>
      </w:r>
      <w:bookmarkEnd w:id="30"/>
    </w:p>
    <w:p>
      <w:pPr>
        <w:pStyle w:val="26"/>
        <w:spacing w:line="360" w:lineRule="auto"/>
        <w:ind w:firstLine="420" w:firstLineChars="200"/>
        <w:outlineLvl w:val="1"/>
        <w:rPr>
          <w:rFonts w:eastAsia="宋体"/>
          <w:color w:val="auto"/>
          <w:sz w:val="21"/>
          <w:szCs w:val="21"/>
          <w:highlight w:val="none"/>
        </w:rPr>
      </w:pPr>
      <w:bookmarkStart w:id="31" w:name="_Toc13974"/>
      <w:r>
        <w:rPr>
          <w:rFonts w:hint="eastAsia" w:eastAsia="宋体"/>
          <w:color w:val="auto"/>
          <w:sz w:val="21"/>
          <w:szCs w:val="21"/>
          <w:highlight w:val="none"/>
        </w:rPr>
        <w:t>1.2.2 本招标项目的出资</w:t>
      </w:r>
      <w:r>
        <w:rPr>
          <w:rFonts w:hint="eastAsia" w:eastAsia="宋体"/>
          <w:color w:val="auto"/>
          <w:sz w:val="21"/>
          <w:szCs w:val="21"/>
          <w:highlight w:val="none"/>
          <w:lang w:eastAsia="zh-CN"/>
        </w:rPr>
        <w:t>情况</w:t>
      </w:r>
      <w:r>
        <w:rPr>
          <w:rFonts w:hint="eastAsia" w:eastAsia="宋体"/>
          <w:color w:val="auto"/>
          <w:sz w:val="21"/>
          <w:szCs w:val="21"/>
          <w:highlight w:val="none"/>
        </w:rPr>
        <w:t>：见投标人须知前附表。</w:t>
      </w:r>
      <w:bookmarkEnd w:id="31"/>
    </w:p>
    <w:p>
      <w:pPr>
        <w:pStyle w:val="26"/>
        <w:spacing w:line="360" w:lineRule="auto"/>
        <w:ind w:firstLine="420" w:firstLineChars="200"/>
        <w:outlineLvl w:val="1"/>
        <w:rPr>
          <w:rFonts w:eastAsia="宋体"/>
          <w:color w:val="auto"/>
          <w:sz w:val="21"/>
          <w:szCs w:val="21"/>
          <w:highlight w:val="none"/>
        </w:rPr>
      </w:pPr>
      <w:bookmarkStart w:id="32" w:name="_Toc1970"/>
      <w:r>
        <w:rPr>
          <w:rFonts w:hint="eastAsia" w:eastAsia="宋体"/>
          <w:color w:val="auto"/>
          <w:sz w:val="21"/>
          <w:szCs w:val="21"/>
          <w:highlight w:val="none"/>
        </w:rPr>
        <w:t>1.2.3 本招标项目的资金落实情况：见投标人须知前附表。</w:t>
      </w:r>
      <w:bookmarkEnd w:id="32"/>
    </w:p>
    <w:p>
      <w:pPr>
        <w:pStyle w:val="26"/>
        <w:spacing w:line="360" w:lineRule="auto"/>
        <w:outlineLvl w:val="1"/>
        <w:rPr>
          <w:rFonts w:eastAsia="宋体"/>
          <w:b/>
          <w:bCs/>
          <w:color w:val="auto"/>
          <w:sz w:val="21"/>
          <w:szCs w:val="21"/>
          <w:highlight w:val="none"/>
        </w:rPr>
      </w:pPr>
      <w:bookmarkStart w:id="33" w:name="_Toc152042308"/>
      <w:bookmarkStart w:id="34" w:name="_Toc179632549"/>
      <w:bookmarkStart w:id="35" w:name="_Toc152045532"/>
      <w:bookmarkStart w:id="36" w:name="_Toc144974500"/>
      <w:bookmarkStart w:id="37" w:name="_Toc25170"/>
      <w:r>
        <w:rPr>
          <w:rFonts w:hint="eastAsia" w:eastAsia="宋体"/>
          <w:b/>
          <w:bCs/>
          <w:color w:val="auto"/>
          <w:sz w:val="21"/>
          <w:szCs w:val="21"/>
          <w:highlight w:val="none"/>
        </w:rPr>
        <w:t>1.3 招标范围、</w:t>
      </w:r>
      <w:r>
        <w:rPr>
          <w:rFonts w:hint="eastAsia" w:eastAsia="宋体"/>
          <w:b/>
          <w:bCs/>
          <w:color w:val="auto"/>
          <w:sz w:val="21"/>
          <w:szCs w:val="21"/>
          <w:highlight w:val="none"/>
          <w:lang w:eastAsia="zh-CN"/>
        </w:rPr>
        <w:t>施工</w:t>
      </w:r>
      <w:r>
        <w:rPr>
          <w:rFonts w:hint="eastAsia" w:eastAsia="宋体"/>
          <w:b/>
          <w:bCs/>
          <w:color w:val="auto"/>
          <w:sz w:val="21"/>
          <w:szCs w:val="21"/>
          <w:highlight w:val="none"/>
        </w:rPr>
        <w:t>工期和质量要求</w:t>
      </w:r>
      <w:bookmarkEnd w:id="33"/>
      <w:bookmarkEnd w:id="34"/>
      <w:bookmarkEnd w:id="35"/>
      <w:bookmarkEnd w:id="36"/>
      <w:bookmarkEnd w:id="37"/>
    </w:p>
    <w:p>
      <w:pPr>
        <w:pStyle w:val="26"/>
        <w:spacing w:line="360" w:lineRule="auto"/>
        <w:ind w:firstLine="420" w:firstLineChars="200"/>
        <w:outlineLvl w:val="1"/>
        <w:rPr>
          <w:rFonts w:eastAsia="宋体"/>
          <w:color w:val="auto"/>
          <w:sz w:val="21"/>
          <w:szCs w:val="21"/>
          <w:highlight w:val="none"/>
        </w:rPr>
      </w:pPr>
      <w:bookmarkStart w:id="38" w:name="_Toc24518"/>
      <w:r>
        <w:rPr>
          <w:rFonts w:hint="eastAsia" w:eastAsia="宋体"/>
          <w:color w:val="auto"/>
          <w:sz w:val="21"/>
          <w:szCs w:val="21"/>
          <w:highlight w:val="none"/>
        </w:rPr>
        <w:t>1.3.1 本次招标范围：见投标人须知前附表。</w:t>
      </w:r>
      <w:bookmarkEnd w:id="38"/>
    </w:p>
    <w:p>
      <w:pPr>
        <w:pStyle w:val="26"/>
        <w:spacing w:line="360" w:lineRule="auto"/>
        <w:ind w:firstLine="420" w:firstLineChars="200"/>
        <w:outlineLvl w:val="1"/>
        <w:rPr>
          <w:rFonts w:eastAsia="宋体"/>
          <w:color w:val="auto"/>
          <w:sz w:val="21"/>
          <w:szCs w:val="21"/>
          <w:highlight w:val="none"/>
        </w:rPr>
      </w:pPr>
      <w:bookmarkStart w:id="39" w:name="_Toc6624"/>
      <w:r>
        <w:rPr>
          <w:rFonts w:hint="eastAsia" w:eastAsia="宋体"/>
          <w:color w:val="auto"/>
          <w:sz w:val="21"/>
          <w:szCs w:val="21"/>
          <w:highlight w:val="none"/>
        </w:rPr>
        <w:t>1.3.2 本项目的</w:t>
      </w:r>
      <w:r>
        <w:rPr>
          <w:rFonts w:hint="eastAsia" w:eastAsia="宋体"/>
          <w:color w:val="auto"/>
          <w:sz w:val="21"/>
          <w:szCs w:val="21"/>
          <w:highlight w:val="none"/>
          <w:lang w:eastAsia="zh-CN"/>
        </w:rPr>
        <w:t>施工</w:t>
      </w:r>
      <w:r>
        <w:rPr>
          <w:rFonts w:hint="eastAsia" w:eastAsia="宋体"/>
          <w:color w:val="auto"/>
          <w:sz w:val="21"/>
          <w:szCs w:val="21"/>
          <w:highlight w:val="none"/>
        </w:rPr>
        <w:t>工期：见投标人须知前附表。</w:t>
      </w:r>
      <w:bookmarkEnd w:id="39"/>
    </w:p>
    <w:p>
      <w:pPr>
        <w:pStyle w:val="26"/>
        <w:spacing w:line="360" w:lineRule="auto"/>
        <w:ind w:firstLine="420" w:firstLineChars="200"/>
        <w:outlineLvl w:val="1"/>
        <w:rPr>
          <w:rFonts w:eastAsia="宋体"/>
          <w:color w:val="auto"/>
          <w:sz w:val="21"/>
          <w:szCs w:val="21"/>
          <w:highlight w:val="none"/>
        </w:rPr>
      </w:pPr>
      <w:bookmarkStart w:id="40" w:name="_Toc1252"/>
      <w:r>
        <w:rPr>
          <w:rFonts w:hint="eastAsia" w:eastAsia="宋体"/>
          <w:color w:val="auto"/>
          <w:sz w:val="21"/>
          <w:szCs w:val="21"/>
          <w:highlight w:val="none"/>
        </w:rPr>
        <w:t>1.3.3 本项目的质量要求：见投标人须知前附表。</w:t>
      </w:r>
      <w:bookmarkEnd w:id="40"/>
    </w:p>
    <w:p>
      <w:pPr>
        <w:pStyle w:val="26"/>
        <w:spacing w:line="360" w:lineRule="auto"/>
        <w:outlineLvl w:val="1"/>
        <w:rPr>
          <w:rFonts w:eastAsia="宋体"/>
          <w:b/>
          <w:bCs/>
          <w:color w:val="auto"/>
          <w:sz w:val="21"/>
          <w:szCs w:val="21"/>
          <w:highlight w:val="none"/>
        </w:rPr>
      </w:pPr>
      <w:bookmarkStart w:id="41" w:name="_Toc152042310"/>
      <w:bookmarkStart w:id="42" w:name="_Toc179632551"/>
      <w:bookmarkStart w:id="43" w:name="_Toc9681"/>
      <w:bookmarkStart w:id="44" w:name="_Toc144974502"/>
      <w:bookmarkStart w:id="45" w:name="_Toc152045534"/>
      <w:r>
        <w:rPr>
          <w:rFonts w:hint="eastAsia" w:eastAsia="宋体"/>
          <w:b/>
          <w:bCs/>
          <w:color w:val="auto"/>
          <w:sz w:val="21"/>
          <w:szCs w:val="21"/>
          <w:highlight w:val="none"/>
        </w:rPr>
        <w:t>1.4 投标人资格要求</w:t>
      </w:r>
      <w:bookmarkEnd w:id="41"/>
      <w:bookmarkEnd w:id="42"/>
      <w:bookmarkEnd w:id="43"/>
      <w:bookmarkEnd w:id="44"/>
      <w:bookmarkEnd w:id="45"/>
    </w:p>
    <w:p>
      <w:pPr>
        <w:pStyle w:val="26"/>
        <w:spacing w:line="360" w:lineRule="auto"/>
        <w:ind w:firstLine="422" w:firstLineChars="200"/>
        <w:outlineLvl w:val="1"/>
        <w:rPr>
          <w:rFonts w:eastAsia="宋体"/>
          <w:b/>
          <w:bCs/>
          <w:color w:val="auto"/>
          <w:sz w:val="21"/>
          <w:szCs w:val="21"/>
          <w:highlight w:val="none"/>
        </w:rPr>
      </w:pPr>
      <w:r>
        <w:rPr>
          <w:rFonts w:hint="eastAsia" w:eastAsia="宋体"/>
          <w:b/>
          <w:bCs/>
          <w:color w:val="auto"/>
          <w:sz w:val="21"/>
          <w:szCs w:val="21"/>
          <w:highlight w:val="none"/>
        </w:rPr>
        <w:t>见招标文件第二章“投标人须知前附表”第1.4.1项。</w:t>
      </w:r>
    </w:p>
    <w:p>
      <w:pPr>
        <w:pStyle w:val="26"/>
        <w:spacing w:line="360" w:lineRule="auto"/>
        <w:ind w:firstLine="420" w:firstLineChars="200"/>
        <w:outlineLvl w:val="1"/>
        <w:rPr>
          <w:rFonts w:eastAsia="宋体"/>
          <w:color w:val="auto"/>
          <w:sz w:val="21"/>
          <w:szCs w:val="21"/>
          <w:highlight w:val="none"/>
        </w:rPr>
      </w:pPr>
      <w:bookmarkStart w:id="46" w:name="_Toc28433"/>
      <w:r>
        <w:rPr>
          <w:rFonts w:hint="eastAsia" w:eastAsia="宋体"/>
          <w:color w:val="auto"/>
          <w:sz w:val="21"/>
          <w:szCs w:val="21"/>
          <w:highlight w:val="none"/>
        </w:rPr>
        <w:t>1.4.2 投标人不得存在下列情形之一：</w:t>
      </w:r>
      <w:bookmarkEnd w:id="46"/>
    </w:p>
    <w:p>
      <w:pPr>
        <w:pStyle w:val="26"/>
        <w:spacing w:line="360" w:lineRule="auto"/>
        <w:ind w:firstLine="420" w:firstLineChars="200"/>
        <w:outlineLvl w:val="1"/>
        <w:rPr>
          <w:rFonts w:eastAsia="宋体"/>
          <w:color w:val="auto"/>
          <w:sz w:val="21"/>
          <w:szCs w:val="21"/>
          <w:highlight w:val="none"/>
        </w:rPr>
      </w:pPr>
      <w:bookmarkStart w:id="47" w:name="_Toc25846"/>
      <w:r>
        <w:rPr>
          <w:rFonts w:hint="eastAsia" w:eastAsia="宋体"/>
          <w:color w:val="auto"/>
          <w:sz w:val="21"/>
          <w:szCs w:val="21"/>
          <w:highlight w:val="none"/>
        </w:rPr>
        <w:t>（1）为招标人不具有独立法人资格的附属机构（单位）；</w:t>
      </w:r>
      <w:bookmarkEnd w:id="47"/>
      <w:r>
        <w:rPr>
          <w:rFonts w:hint="eastAsia" w:eastAsia="宋体"/>
          <w:color w:val="auto"/>
          <w:sz w:val="21"/>
          <w:szCs w:val="21"/>
          <w:highlight w:val="none"/>
        </w:rPr>
        <w:t xml:space="preserve"> </w:t>
      </w:r>
    </w:p>
    <w:p>
      <w:pPr>
        <w:pStyle w:val="26"/>
        <w:spacing w:line="360" w:lineRule="auto"/>
        <w:ind w:firstLine="420" w:firstLineChars="200"/>
        <w:outlineLvl w:val="1"/>
        <w:rPr>
          <w:rFonts w:eastAsia="宋体"/>
          <w:color w:val="auto"/>
          <w:sz w:val="21"/>
          <w:szCs w:val="21"/>
          <w:highlight w:val="none"/>
        </w:rPr>
      </w:pPr>
      <w:bookmarkStart w:id="48" w:name="_Toc8331"/>
      <w:r>
        <w:rPr>
          <w:rFonts w:hint="eastAsia" w:eastAsia="宋体"/>
          <w:color w:val="auto"/>
          <w:sz w:val="21"/>
          <w:szCs w:val="21"/>
          <w:highlight w:val="none"/>
        </w:rPr>
        <w:t>（2）为本项目前期准备提供设计或咨询服务的，但设计施工总承包的除外；</w:t>
      </w:r>
      <w:bookmarkEnd w:id="48"/>
      <w:r>
        <w:rPr>
          <w:rFonts w:hint="eastAsia" w:eastAsia="宋体"/>
          <w:color w:val="auto"/>
          <w:sz w:val="21"/>
          <w:szCs w:val="21"/>
          <w:highlight w:val="none"/>
        </w:rPr>
        <w:t xml:space="preserve"> </w:t>
      </w:r>
    </w:p>
    <w:p>
      <w:pPr>
        <w:pStyle w:val="26"/>
        <w:spacing w:line="360" w:lineRule="auto"/>
        <w:ind w:firstLine="420" w:firstLineChars="200"/>
        <w:outlineLvl w:val="1"/>
        <w:rPr>
          <w:rFonts w:eastAsia="宋体"/>
          <w:color w:val="auto"/>
          <w:sz w:val="21"/>
          <w:szCs w:val="21"/>
          <w:highlight w:val="none"/>
        </w:rPr>
      </w:pPr>
      <w:bookmarkStart w:id="49" w:name="_Toc25775"/>
      <w:r>
        <w:rPr>
          <w:rFonts w:hint="eastAsia" w:eastAsia="宋体"/>
          <w:color w:val="auto"/>
          <w:sz w:val="21"/>
          <w:szCs w:val="21"/>
          <w:highlight w:val="none"/>
        </w:rPr>
        <w:t>（3）为本项目的监理人；</w:t>
      </w:r>
      <w:bookmarkEnd w:id="49"/>
    </w:p>
    <w:p>
      <w:pPr>
        <w:pStyle w:val="26"/>
        <w:spacing w:line="360" w:lineRule="auto"/>
        <w:ind w:firstLine="420" w:firstLineChars="200"/>
        <w:outlineLvl w:val="1"/>
        <w:rPr>
          <w:rFonts w:eastAsia="宋体"/>
          <w:color w:val="auto"/>
          <w:sz w:val="21"/>
          <w:szCs w:val="21"/>
          <w:highlight w:val="none"/>
        </w:rPr>
      </w:pPr>
      <w:bookmarkStart w:id="50" w:name="_Toc1928"/>
      <w:r>
        <w:rPr>
          <w:rFonts w:hint="eastAsia" w:eastAsia="宋体"/>
          <w:color w:val="auto"/>
          <w:sz w:val="21"/>
          <w:szCs w:val="21"/>
          <w:highlight w:val="none"/>
        </w:rPr>
        <w:t>（4）为本项目的代建人；</w:t>
      </w:r>
      <w:bookmarkEnd w:id="50"/>
    </w:p>
    <w:p>
      <w:pPr>
        <w:pStyle w:val="26"/>
        <w:spacing w:line="360" w:lineRule="auto"/>
        <w:ind w:firstLine="420" w:firstLineChars="200"/>
        <w:outlineLvl w:val="1"/>
        <w:rPr>
          <w:rFonts w:eastAsia="宋体"/>
          <w:color w:val="auto"/>
          <w:sz w:val="21"/>
          <w:szCs w:val="21"/>
          <w:highlight w:val="none"/>
        </w:rPr>
      </w:pPr>
      <w:bookmarkStart w:id="51" w:name="_Toc5475"/>
      <w:r>
        <w:rPr>
          <w:rFonts w:hint="eastAsia" w:eastAsia="宋体"/>
          <w:color w:val="auto"/>
          <w:sz w:val="21"/>
          <w:szCs w:val="21"/>
          <w:highlight w:val="none"/>
        </w:rPr>
        <w:t>（5）为本项目提供招标代理服务的；</w:t>
      </w:r>
      <w:bookmarkEnd w:id="51"/>
      <w:r>
        <w:rPr>
          <w:rFonts w:hint="eastAsia" w:eastAsia="宋体"/>
          <w:color w:val="auto"/>
          <w:sz w:val="21"/>
          <w:szCs w:val="21"/>
          <w:highlight w:val="none"/>
        </w:rPr>
        <w:t xml:space="preserve"> </w:t>
      </w:r>
    </w:p>
    <w:p>
      <w:pPr>
        <w:pStyle w:val="26"/>
        <w:spacing w:line="360" w:lineRule="auto"/>
        <w:ind w:firstLine="420" w:firstLineChars="200"/>
        <w:outlineLvl w:val="1"/>
        <w:rPr>
          <w:rFonts w:eastAsia="宋体"/>
          <w:color w:val="auto"/>
          <w:sz w:val="21"/>
          <w:szCs w:val="21"/>
          <w:highlight w:val="none"/>
        </w:rPr>
      </w:pPr>
      <w:bookmarkStart w:id="52" w:name="_Toc31758"/>
      <w:r>
        <w:rPr>
          <w:rFonts w:hint="eastAsia" w:eastAsia="宋体"/>
          <w:color w:val="auto"/>
          <w:sz w:val="21"/>
          <w:szCs w:val="21"/>
          <w:highlight w:val="none"/>
        </w:rPr>
        <w:t>（6）与本项目的监理人或代建人或招标代理机构同为一个法定代表人的；</w:t>
      </w:r>
      <w:bookmarkEnd w:id="52"/>
    </w:p>
    <w:p>
      <w:pPr>
        <w:pStyle w:val="26"/>
        <w:spacing w:line="360" w:lineRule="auto"/>
        <w:ind w:firstLine="420" w:firstLineChars="200"/>
        <w:outlineLvl w:val="1"/>
        <w:rPr>
          <w:rFonts w:eastAsia="宋体"/>
          <w:color w:val="auto"/>
          <w:sz w:val="21"/>
          <w:szCs w:val="21"/>
          <w:highlight w:val="none"/>
        </w:rPr>
      </w:pPr>
      <w:bookmarkStart w:id="53" w:name="_Toc32005"/>
      <w:r>
        <w:rPr>
          <w:rFonts w:hint="eastAsia" w:eastAsia="宋体"/>
          <w:color w:val="auto"/>
          <w:sz w:val="21"/>
          <w:szCs w:val="21"/>
          <w:highlight w:val="none"/>
        </w:rPr>
        <w:t>（7）与本项目的监理人或代建人或招标代理机构相互控股或参股的；</w:t>
      </w:r>
      <w:bookmarkEnd w:id="53"/>
    </w:p>
    <w:p>
      <w:pPr>
        <w:pStyle w:val="26"/>
        <w:spacing w:line="360" w:lineRule="auto"/>
        <w:ind w:firstLine="420" w:firstLineChars="200"/>
        <w:outlineLvl w:val="1"/>
        <w:rPr>
          <w:rFonts w:eastAsia="宋体"/>
          <w:color w:val="auto"/>
          <w:sz w:val="21"/>
          <w:szCs w:val="21"/>
          <w:highlight w:val="none"/>
        </w:rPr>
      </w:pPr>
      <w:bookmarkStart w:id="54" w:name="_Toc27178"/>
      <w:r>
        <w:rPr>
          <w:rFonts w:hint="eastAsia" w:eastAsia="宋体"/>
          <w:color w:val="auto"/>
          <w:sz w:val="21"/>
          <w:szCs w:val="21"/>
          <w:highlight w:val="none"/>
        </w:rPr>
        <w:t>（8）与本项目的监理人或代建人或招标代理机构相互任职或工作的；</w:t>
      </w:r>
      <w:bookmarkEnd w:id="54"/>
    </w:p>
    <w:p>
      <w:pPr>
        <w:pStyle w:val="26"/>
        <w:spacing w:line="360" w:lineRule="auto"/>
        <w:ind w:firstLine="420" w:firstLineChars="200"/>
        <w:outlineLvl w:val="1"/>
        <w:rPr>
          <w:rFonts w:eastAsia="宋体"/>
          <w:color w:val="auto"/>
          <w:sz w:val="21"/>
          <w:szCs w:val="21"/>
          <w:highlight w:val="none"/>
        </w:rPr>
      </w:pPr>
      <w:bookmarkStart w:id="55" w:name="_Toc26060"/>
      <w:r>
        <w:rPr>
          <w:rFonts w:hint="eastAsia" w:eastAsia="宋体"/>
          <w:color w:val="auto"/>
          <w:sz w:val="21"/>
          <w:szCs w:val="21"/>
          <w:highlight w:val="none"/>
        </w:rPr>
        <w:t>（9）被责令停业的；</w:t>
      </w:r>
      <w:bookmarkEnd w:id="55"/>
      <w:r>
        <w:rPr>
          <w:rFonts w:hint="eastAsia" w:eastAsia="宋体"/>
          <w:color w:val="auto"/>
          <w:sz w:val="21"/>
          <w:szCs w:val="21"/>
          <w:highlight w:val="none"/>
        </w:rPr>
        <w:t xml:space="preserve"> </w:t>
      </w:r>
    </w:p>
    <w:p>
      <w:pPr>
        <w:pStyle w:val="26"/>
        <w:spacing w:line="360" w:lineRule="auto"/>
        <w:ind w:firstLine="420" w:firstLineChars="200"/>
        <w:outlineLvl w:val="1"/>
        <w:rPr>
          <w:rFonts w:eastAsia="宋体"/>
          <w:color w:val="auto"/>
          <w:sz w:val="21"/>
          <w:szCs w:val="21"/>
          <w:highlight w:val="none"/>
        </w:rPr>
      </w:pPr>
      <w:bookmarkStart w:id="56" w:name="_Toc12330"/>
      <w:r>
        <w:rPr>
          <w:rFonts w:hint="eastAsia" w:eastAsia="宋体"/>
          <w:color w:val="auto"/>
          <w:sz w:val="21"/>
          <w:szCs w:val="21"/>
          <w:highlight w:val="none"/>
        </w:rPr>
        <w:t>（10）被暂停或取消投标资格的；</w:t>
      </w:r>
      <w:bookmarkEnd w:id="56"/>
      <w:r>
        <w:rPr>
          <w:rFonts w:hint="eastAsia" w:eastAsia="宋体"/>
          <w:color w:val="auto"/>
          <w:sz w:val="21"/>
          <w:szCs w:val="21"/>
          <w:highlight w:val="none"/>
        </w:rPr>
        <w:t xml:space="preserve"> </w:t>
      </w:r>
    </w:p>
    <w:p>
      <w:pPr>
        <w:pStyle w:val="26"/>
        <w:spacing w:line="360" w:lineRule="auto"/>
        <w:ind w:firstLine="420" w:firstLineChars="200"/>
        <w:outlineLvl w:val="1"/>
        <w:rPr>
          <w:rFonts w:eastAsia="宋体"/>
          <w:color w:val="auto"/>
          <w:sz w:val="21"/>
          <w:szCs w:val="21"/>
          <w:highlight w:val="none"/>
        </w:rPr>
      </w:pPr>
      <w:bookmarkStart w:id="57" w:name="_Toc17909"/>
      <w:r>
        <w:rPr>
          <w:rFonts w:hint="eastAsia" w:eastAsia="宋体"/>
          <w:color w:val="auto"/>
          <w:sz w:val="21"/>
          <w:szCs w:val="21"/>
          <w:highlight w:val="none"/>
        </w:rPr>
        <w:t>（11）财产被接管或冻结的；</w:t>
      </w:r>
      <w:bookmarkEnd w:id="57"/>
    </w:p>
    <w:p>
      <w:pPr>
        <w:pStyle w:val="26"/>
        <w:spacing w:line="360" w:lineRule="auto"/>
        <w:ind w:firstLine="420" w:firstLineChars="200"/>
        <w:outlineLvl w:val="1"/>
        <w:rPr>
          <w:rFonts w:eastAsia="宋体"/>
          <w:color w:val="auto"/>
          <w:sz w:val="21"/>
          <w:szCs w:val="21"/>
          <w:highlight w:val="none"/>
        </w:rPr>
      </w:pPr>
      <w:bookmarkStart w:id="58" w:name="_Toc24530"/>
      <w:r>
        <w:rPr>
          <w:rFonts w:hint="eastAsia" w:eastAsia="宋体"/>
          <w:color w:val="auto"/>
          <w:sz w:val="21"/>
          <w:szCs w:val="21"/>
          <w:highlight w:val="none"/>
        </w:rPr>
        <w:t>（12）在最近三年内有骗取中标或严重违约或重大工程质量问题的。</w:t>
      </w:r>
      <w:bookmarkEnd w:id="58"/>
    </w:p>
    <w:p>
      <w:pPr>
        <w:pStyle w:val="26"/>
        <w:spacing w:line="360" w:lineRule="auto"/>
        <w:outlineLvl w:val="1"/>
        <w:rPr>
          <w:rFonts w:eastAsia="宋体"/>
          <w:b/>
          <w:bCs/>
          <w:color w:val="auto"/>
          <w:sz w:val="21"/>
          <w:szCs w:val="21"/>
          <w:highlight w:val="none"/>
        </w:rPr>
      </w:pPr>
      <w:bookmarkStart w:id="59" w:name="_Toc152045535"/>
      <w:bookmarkStart w:id="60" w:name="_Toc4783"/>
      <w:bookmarkStart w:id="61" w:name="_Toc152042311"/>
      <w:bookmarkStart w:id="62" w:name="_Toc144974503"/>
      <w:bookmarkStart w:id="63" w:name="_Toc179632552"/>
      <w:r>
        <w:rPr>
          <w:rFonts w:hint="eastAsia" w:eastAsia="宋体"/>
          <w:b/>
          <w:bCs/>
          <w:color w:val="auto"/>
          <w:sz w:val="21"/>
          <w:szCs w:val="21"/>
          <w:highlight w:val="none"/>
        </w:rPr>
        <w:t>1.5 费用承担</w:t>
      </w:r>
      <w:bookmarkEnd w:id="59"/>
      <w:bookmarkEnd w:id="60"/>
      <w:bookmarkEnd w:id="61"/>
      <w:bookmarkEnd w:id="62"/>
      <w:bookmarkEnd w:id="63"/>
    </w:p>
    <w:p>
      <w:pPr>
        <w:pStyle w:val="26"/>
        <w:spacing w:line="360" w:lineRule="auto"/>
        <w:ind w:firstLine="420" w:firstLineChars="200"/>
        <w:outlineLvl w:val="1"/>
        <w:rPr>
          <w:rFonts w:eastAsia="宋体"/>
          <w:color w:val="auto"/>
          <w:sz w:val="21"/>
          <w:szCs w:val="21"/>
          <w:highlight w:val="none"/>
        </w:rPr>
      </w:pPr>
      <w:bookmarkStart w:id="64" w:name="_Toc558"/>
      <w:r>
        <w:rPr>
          <w:rFonts w:hint="eastAsia" w:eastAsia="宋体"/>
          <w:color w:val="auto"/>
          <w:sz w:val="21"/>
          <w:szCs w:val="21"/>
          <w:highlight w:val="none"/>
        </w:rPr>
        <w:t>投标人准备和参加投标活动发生的费用自理。</w:t>
      </w:r>
      <w:bookmarkEnd w:id="64"/>
    </w:p>
    <w:p>
      <w:pPr>
        <w:pStyle w:val="26"/>
        <w:spacing w:line="360" w:lineRule="auto"/>
        <w:outlineLvl w:val="1"/>
        <w:rPr>
          <w:rFonts w:eastAsia="宋体"/>
          <w:b/>
          <w:bCs/>
          <w:color w:val="auto"/>
          <w:sz w:val="21"/>
          <w:szCs w:val="21"/>
          <w:highlight w:val="none"/>
        </w:rPr>
      </w:pPr>
      <w:bookmarkStart w:id="65" w:name="_Toc152042312"/>
      <w:bookmarkStart w:id="66" w:name="_Toc152045536"/>
      <w:bookmarkStart w:id="67" w:name="_Toc144974504"/>
      <w:bookmarkStart w:id="68" w:name="_Toc16162"/>
      <w:bookmarkStart w:id="69" w:name="_Toc179632553"/>
      <w:r>
        <w:rPr>
          <w:rFonts w:hint="eastAsia" w:eastAsia="宋体"/>
          <w:b/>
          <w:bCs/>
          <w:color w:val="auto"/>
          <w:sz w:val="21"/>
          <w:szCs w:val="21"/>
          <w:highlight w:val="none"/>
        </w:rPr>
        <w:t>1.6 保密</w:t>
      </w:r>
      <w:bookmarkEnd w:id="65"/>
      <w:bookmarkEnd w:id="66"/>
      <w:bookmarkEnd w:id="67"/>
      <w:bookmarkEnd w:id="68"/>
      <w:bookmarkEnd w:id="69"/>
    </w:p>
    <w:p>
      <w:pPr>
        <w:pStyle w:val="26"/>
        <w:spacing w:line="360" w:lineRule="auto"/>
        <w:ind w:firstLine="420" w:firstLineChars="200"/>
        <w:outlineLvl w:val="1"/>
        <w:rPr>
          <w:rFonts w:eastAsia="宋体"/>
          <w:color w:val="auto"/>
          <w:sz w:val="21"/>
          <w:szCs w:val="21"/>
          <w:highlight w:val="none"/>
        </w:rPr>
      </w:pPr>
      <w:bookmarkStart w:id="70" w:name="_Toc15076"/>
      <w:r>
        <w:rPr>
          <w:rFonts w:hint="eastAsia" w:eastAsia="宋体"/>
          <w:color w:val="auto"/>
          <w:sz w:val="21"/>
          <w:szCs w:val="21"/>
          <w:highlight w:val="none"/>
        </w:rPr>
        <w:t>参与招标投标活动的各方应对招标文件和投标文件中的商业和技术等秘密保密，违者应对由此造成的后果承担法律责任。</w:t>
      </w:r>
      <w:bookmarkEnd w:id="70"/>
      <w:r>
        <w:rPr>
          <w:rFonts w:hint="eastAsia" w:eastAsia="宋体"/>
          <w:color w:val="auto"/>
          <w:sz w:val="21"/>
          <w:szCs w:val="21"/>
          <w:highlight w:val="none"/>
        </w:rPr>
        <w:t xml:space="preserve"> </w:t>
      </w:r>
    </w:p>
    <w:p>
      <w:pPr>
        <w:pStyle w:val="26"/>
        <w:spacing w:line="360" w:lineRule="auto"/>
        <w:outlineLvl w:val="1"/>
        <w:rPr>
          <w:rFonts w:eastAsia="宋体"/>
          <w:b/>
          <w:bCs/>
          <w:color w:val="auto"/>
          <w:sz w:val="21"/>
          <w:szCs w:val="21"/>
          <w:highlight w:val="none"/>
        </w:rPr>
      </w:pPr>
      <w:bookmarkStart w:id="71" w:name="_Toc144974505"/>
      <w:bookmarkStart w:id="72" w:name="_Toc28914"/>
      <w:bookmarkStart w:id="73" w:name="_Toc179632554"/>
      <w:bookmarkStart w:id="74" w:name="_Toc152045537"/>
      <w:bookmarkStart w:id="75" w:name="_Toc152042313"/>
      <w:r>
        <w:rPr>
          <w:rFonts w:hint="eastAsia" w:eastAsia="宋体"/>
          <w:b/>
          <w:bCs/>
          <w:color w:val="auto"/>
          <w:sz w:val="21"/>
          <w:szCs w:val="21"/>
          <w:highlight w:val="none"/>
        </w:rPr>
        <w:t>1.7 语言</w:t>
      </w:r>
      <w:bookmarkEnd w:id="71"/>
      <w:r>
        <w:rPr>
          <w:rFonts w:hint="eastAsia" w:eastAsia="宋体"/>
          <w:b/>
          <w:bCs/>
          <w:color w:val="auto"/>
          <w:sz w:val="21"/>
          <w:szCs w:val="21"/>
          <w:highlight w:val="none"/>
        </w:rPr>
        <w:t>文字</w:t>
      </w:r>
      <w:bookmarkEnd w:id="72"/>
      <w:bookmarkEnd w:id="73"/>
      <w:bookmarkEnd w:id="74"/>
      <w:bookmarkEnd w:id="75"/>
    </w:p>
    <w:p>
      <w:pPr>
        <w:pStyle w:val="26"/>
        <w:spacing w:line="360" w:lineRule="auto"/>
        <w:ind w:firstLine="420" w:firstLineChars="200"/>
        <w:outlineLvl w:val="1"/>
        <w:rPr>
          <w:rFonts w:eastAsia="宋体"/>
          <w:color w:val="auto"/>
          <w:sz w:val="21"/>
          <w:szCs w:val="21"/>
          <w:highlight w:val="none"/>
        </w:rPr>
      </w:pPr>
      <w:bookmarkStart w:id="76" w:name="_Toc20283"/>
      <w:r>
        <w:rPr>
          <w:rFonts w:hint="eastAsia" w:eastAsia="宋体"/>
          <w:color w:val="auto"/>
          <w:sz w:val="21"/>
          <w:szCs w:val="21"/>
          <w:highlight w:val="none"/>
        </w:rPr>
        <w:t>除专用术语外，与招标投标有关的语言均使用中文。必要时专用术语应附有中文注释。</w:t>
      </w:r>
      <w:bookmarkEnd w:id="76"/>
    </w:p>
    <w:p>
      <w:pPr>
        <w:pStyle w:val="26"/>
        <w:spacing w:line="360" w:lineRule="auto"/>
        <w:outlineLvl w:val="1"/>
        <w:rPr>
          <w:rFonts w:eastAsia="宋体"/>
          <w:b/>
          <w:bCs/>
          <w:color w:val="auto"/>
          <w:sz w:val="21"/>
          <w:szCs w:val="21"/>
          <w:highlight w:val="none"/>
        </w:rPr>
      </w:pPr>
      <w:bookmarkStart w:id="77" w:name="_Toc32182"/>
      <w:bookmarkStart w:id="78" w:name="_Toc152045538"/>
      <w:bookmarkStart w:id="79" w:name="_Toc152042314"/>
      <w:bookmarkStart w:id="80" w:name="_Toc144974506"/>
      <w:bookmarkStart w:id="81" w:name="_Toc179632555"/>
      <w:r>
        <w:rPr>
          <w:rFonts w:hint="eastAsia" w:eastAsia="宋体"/>
          <w:b/>
          <w:bCs/>
          <w:color w:val="auto"/>
          <w:sz w:val="21"/>
          <w:szCs w:val="21"/>
          <w:highlight w:val="none"/>
        </w:rPr>
        <w:t>1.8 计量单位</w:t>
      </w:r>
      <w:bookmarkEnd w:id="77"/>
      <w:bookmarkEnd w:id="78"/>
      <w:bookmarkEnd w:id="79"/>
      <w:bookmarkEnd w:id="80"/>
      <w:bookmarkEnd w:id="81"/>
    </w:p>
    <w:p>
      <w:pPr>
        <w:pStyle w:val="26"/>
        <w:spacing w:line="360" w:lineRule="auto"/>
        <w:ind w:firstLine="420" w:firstLineChars="200"/>
        <w:outlineLvl w:val="1"/>
        <w:rPr>
          <w:rFonts w:eastAsia="宋体"/>
          <w:color w:val="auto"/>
          <w:sz w:val="21"/>
          <w:szCs w:val="21"/>
          <w:highlight w:val="none"/>
        </w:rPr>
      </w:pPr>
      <w:bookmarkStart w:id="82" w:name="_Toc30256"/>
      <w:r>
        <w:rPr>
          <w:rFonts w:hint="eastAsia" w:eastAsia="宋体"/>
          <w:color w:val="auto"/>
          <w:sz w:val="21"/>
          <w:szCs w:val="21"/>
          <w:highlight w:val="none"/>
        </w:rPr>
        <w:t>所有计量均采用中华人民共和国法定计量单位。</w:t>
      </w:r>
      <w:bookmarkEnd w:id="82"/>
    </w:p>
    <w:p>
      <w:pPr>
        <w:pStyle w:val="26"/>
        <w:spacing w:line="360" w:lineRule="auto"/>
        <w:outlineLvl w:val="1"/>
        <w:rPr>
          <w:rFonts w:eastAsia="宋体"/>
          <w:b/>
          <w:bCs/>
          <w:color w:val="auto"/>
          <w:sz w:val="21"/>
          <w:szCs w:val="21"/>
          <w:highlight w:val="none"/>
        </w:rPr>
      </w:pPr>
      <w:bookmarkStart w:id="83" w:name="_Toc8497"/>
      <w:bookmarkStart w:id="84" w:name="_Toc152042315"/>
      <w:bookmarkStart w:id="85" w:name="_Toc144974507"/>
      <w:bookmarkStart w:id="86" w:name="_Toc152045539"/>
      <w:bookmarkStart w:id="87" w:name="_Toc179632556"/>
      <w:r>
        <w:rPr>
          <w:rFonts w:hint="eastAsia" w:eastAsia="宋体"/>
          <w:b/>
          <w:bCs/>
          <w:color w:val="auto"/>
          <w:sz w:val="21"/>
          <w:szCs w:val="21"/>
          <w:highlight w:val="none"/>
        </w:rPr>
        <w:t>1.9 踏勘现场</w:t>
      </w:r>
      <w:bookmarkEnd w:id="83"/>
      <w:bookmarkEnd w:id="84"/>
      <w:bookmarkEnd w:id="85"/>
      <w:bookmarkEnd w:id="86"/>
      <w:bookmarkEnd w:id="87"/>
      <w:r>
        <w:rPr>
          <w:rFonts w:hint="eastAsia" w:eastAsia="宋体"/>
          <w:b/>
          <w:bCs/>
          <w:color w:val="auto"/>
          <w:sz w:val="21"/>
          <w:szCs w:val="21"/>
          <w:highlight w:val="none"/>
        </w:rPr>
        <w:t>：</w:t>
      </w:r>
      <w:bookmarkStart w:id="88" w:name="_Toc16972"/>
      <w:r>
        <w:rPr>
          <w:rFonts w:hint="eastAsia" w:eastAsia="宋体"/>
          <w:b/>
          <w:bCs/>
          <w:color w:val="auto"/>
          <w:sz w:val="21"/>
          <w:szCs w:val="21"/>
          <w:highlight w:val="none"/>
        </w:rPr>
        <w:t xml:space="preserve"> 不组织。</w:t>
      </w:r>
      <w:bookmarkEnd w:id="88"/>
      <w:r>
        <w:rPr>
          <w:rFonts w:hint="eastAsia" w:eastAsia="宋体"/>
          <w:b/>
          <w:bCs/>
          <w:color w:val="auto"/>
          <w:sz w:val="21"/>
          <w:szCs w:val="21"/>
          <w:highlight w:val="none"/>
        </w:rPr>
        <w:t xml:space="preserve"> </w:t>
      </w:r>
    </w:p>
    <w:p>
      <w:pPr>
        <w:pStyle w:val="26"/>
        <w:spacing w:line="360" w:lineRule="auto"/>
        <w:outlineLvl w:val="1"/>
        <w:rPr>
          <w:rFonts w:eastAsia="宋体"/>
          <w:b/>
          <w:bCs/>
          <w:color w:val="auto"/>
          <w:sz w:val="21"/>
          <w:szCs w:val="21"/>
          <w:highlight w:val="none"/>
        </w:rPr>
      </w:pPr>
      <w:bookmarkStart w:id="89" w:name="_Toc179632557"/>
      <w:bookmarkStart w:id="90" w:name="_Toc11124"/>
      <w:bookmarkStart w:id="91" w:name="_Toc152042316"/>
      <w:bookmarkStart w:id="92" w:name="_Toc152045540"/>
      <w:bookmarkStart w:id="93" w:name="_Toc144974508"/>
      <w:r>
        <w:rPr>
          <w:rFonts w:hint="eastAsia" w:eastAsia="宋体"/>
          <w:b/>
          <w:bCs/>
          <w:color w:val="auto"/>
          <w:sz w:val="21"/>
          <w:szCs w:val="21"/>
          <w:highlight w:val="none"/>
        </w:rPr>
        <w:t>1.10 投标预备会</w:t>
      </w:r>
      <w:bookmarkEnd w:id="89"/>
      <w:bookmarkEnd w:id="90"/>
      <w:bookmarkEnd w:id="91"/>
      <w:bookmarkEnd w:id="92"/>
      <w:bookmarkEnd w:id="93"/>
    </w:p>
    <w:p>
      <w:pPr>
        <w:pStyle w:val="26"/>
        <w:spacing w:line="360" w:lineRule="auto"/>
        <w:ind w:firstLine="420" w:firstLineChars="200"/>
        <w:outlineLvl w:val="1"/>
        <w:rPr>
          <w:rFonts w:eastAsia="宋体"/>
          <w:color w:val="auto"/>
          <w:sz w:val="21"/>
          <w:szCs w:val="21"/>
          <w:highlight w:val="none"/>
        </w:rPr>
      </w:pPr>
      <w:bookmarkStart w:id="94" w:name="_Toc23655"/>
      <w:bookmarkStart w:id="95" w:name="_Toc179632558"/>
      <w:bookmarkStart w:id="96" w:name="_Toc144974509"/>
      <w:bookmarkStart w:id="97" w:name="_Toc152045541"/>
      <w:bookmarkStart w:id="98" w:name="_Toc152042317"/>
      <w:r>
        <w:rPr>
          <w:rFonts w:hint="eastAsia" w:eastAsia="宋体"/>
          <w:color w:val="auto"/>
          <w:sz w:val="21"/>
          <w:szCs w:val="21"/>
          <w:highlight w:val="none"/>
        </w:rPr>
        <w:t xml:space="preserve">1.10.1 本次招标不召开投标预备会。 </w:t>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t>1.10.2 投标人如有问题，应在投标人须知前附表规定的时间前在电子交易系统中提出，要求招标人对招标文件予以澄清。</w:t>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t xml:space="preserve">1.10.3 在投标人须知前附表规定的投标截止时间15天前，招标人将对投标人所提问题的澄清，以在电子交易系统中以澄清形式公示给所有购买招标文件的投标人。该澄清内容为招标文件的组成部分。 </w:t>
      </w:r>
    </w:p>
    <w:p>
      <w:pPr>
        <w:pStyle w:val="26"/>
        <w:spacing w:line="360" w:lineRule="auto"/>
        <w:outlineLvl w:val="1"/>
        <w:rPr>
          <w:rFonts w:eastAsia="宋体"/>
          <w:b/>
          <w:bCs/>
          <w:color w:val="auto"/>
          <w:sz w:val="21"/>
          <w:szCs w:val="21"/>
          <w:highlight w:val="none"/>
        </w:rPr>
      </w:pPr>
      <w:r>
        <w:rPr>
          <w:rFonts w:hint="eastAsia" w:eastAsia="宋体"/>
          <w:b/>
          <w:bCs/>
          <w:color w:val="auto"/>
          <w:sz w:val="21"/>
          <w:szCs w:val="21"/>
          <w:highlight w:val="none"/>
        </w:rPr>
        <w:t>1.11 分包</w:t>
      </w:r>
      <w:bookmarkEnd w:id="94"/>
      <w:bookmarkEnd w:id="95"/>
      <w:bookmarkEnd w:id="96"/>
      <w:bookmarkEnd w:id="97"/>
      <w:bookmarkEnd w:id="98"/>
      <w:bookmarkStart w:id="99" w:name="_Toc179632559"/>
      <w:bookmarkStart w:id="100" w:name="_Toc18364"/>
    </w:p>
    <w:p>
      <w:pPr>
        <w:pStyle w:val="26"/>
        <w:spacing w:line="360" w:lineRule="auto"/>
        <w:ind w:firstLine="420" w:firstLineChars="200"/>
        <w:outlineLvl w:val="1"/>
        <w:rPr>
          <w:rFonts w:hint="eastAsia" w:eastAsia="宋体"/>
          <w:color w:val="auto"/>
          <w:sz w:val="21"/>
          <w:szCs w:val="21"/>
          <w:highlight w:val="none"/>
          <w:lang w:val="en-US" w:eastAsia="zh-CN"/>
        </w:rPr>
      </w:pPr>
      <w:r>
        <w:rPr>
          <w:rFonts w:hint="eastAsia" w:eastAsia="宋体"/>
          <w:color w:val="auto"/>
          <w:sz w:val="21"/>
          <w:szCs w:val="21"/>
          <w:highlight w:val="none"/>
        </w:rPr>
        <w:t>按投标人须知前附表规定</w:t>
      </w:r>
      <w:r>
        <w:rPr>
          <w:rFonts w:hint="eastAsia" w:eastAsia="宋体"/>
          <w:color w:val="auto"/>
          <w:sz w:val="21"/>
          <w:szCs w:val="21"/>
          <w:highlight w:val="none"/>
          <w:lang w:eastAsia="zh-CN"/>
        </w:rPr>
        <w:t>。</w:t>
      </w:r>
    </w:p>
    <w:p>
      <w:pPr>
        <w:pStyle w:val="26"/>
        <w:spacing w:line="360" w:lineRule="auto"/>
        <w:outlineLvl w:val="1"/>
        <w:rPr>
          <w:rFonts w:eastAsia="宋体"/>
          <w:b/>
          <w:bCs/>
          <w:color w:val="auto"/>
          <w:sz w:val="21"/>
          <w:szCs w:val="21"/>
          <w:highlight w:val="none"/>
        </w:rPr>
      </w:pPr>
      <w:r>
        <w:rPr>
          <w:rFonts w:hint="eastAsia" w:eastAsia="宋体"/>
          <w:b/>
          <w:bCs/>
          <w:color w:val="auto"/>
          <w:sz w:val="21"/>
          <w:szCs w:val="21"/>
          <w:highlight w:val="none"/>
        </w:rPr>
        <w:t>1.12 偏离</w:t>
      </w:r>
      <w:bookmarkEnd w:id="99"/>
      <w:bookmarkEnd w:id="100"/>
    </w:p>
    <w:p>
      <w:pPr>
        <w:pStyle w:val="26"/>
        <w:ind w:firstLine="420" w:firstLineChars="200"/>
        <w:outlineLvl w:val="1"/>
        <w:rPr>
          <w:rFonts w:eastAsia="宋体"/>
          <w:color w:val="auto"/>
          <w:sz w:val="21"/>
          <w:szCs w:val="21"/>
          <w:highlight w:val="none"/>
        </w:rPr>
      </w:pPr>
      <w:bookmarkStart w:id="101" w:name="_Toc2221"/>
      <w:r>
        <w:rPr>
          <w:rFonts w:hint="eastAsia" w:eastAsia="宋体"/>
          <w:color w:val="auto"/>
          <w:sz w:val="21"/>
          <w:szCs w:val="21"/>
          <w:highlight w:val="none"/>
        </w:rPr>
        <w:t>偏离即偏差，偏差分重大偏差和细微偏差。</w:t>
      </w:r>
    </w:p>
    <w:p>
      <w:pPr>
        <w:pStyle w:val="26"/>
        <w:ind w:firstLine="420" w:firstLineChars="200"/>
        <w:outlineLvl w:val="1"/>
        <w:rPr>
          <w:rFonts w:eastAsia="宋体"/>
          <w:color w:val="auto"/>
          <w:sz w:val="21"/>
          <w:szCs w:val="21"/>
          <w:highlight w:val="none"/>
        </w:rPr>
      </w:pPr>
      <w:r>
        <w:rPr>
          <w:rFonts w:hint="eastAsia" w:eastAsia="宋体"/>
          <w:color w:val="auto"/>
          <w:sz w:val="21"/>
          <w:szCs w:val="21"/>
          <w:highlight w:val="none"/>
        </w:rPr>
        <w:t>按投标人须知前附表规定不允许投标文件就实质内容偏离招标文件，否则视为重大偏差，为废标。</w:t>
      </w:r>
    </w:p>
    <w:p>
      <w:pPr>
        <w:pStyle w:val="26"/>
        <w:ind w:firstLine="420" w:firstLineChars="200"/>
        <w:outlineLvl w:val="1"/>
        <w:rPr>
          <w:rFonts w:eastAsia="宋体"/>
          <w:color w:val="auto"/>
          <w:sz w:val="21"/>
          <w:szCs w:val="21"/>
          <w:highlight w:val="none"/>
        </w:rPr>
      </w:pPr>
      <w:r>
        <w:rPr>
          <w:rFonts w:hint="eastAsia" w:eastAsia="宋体"/>
          <w:color w:val="auto"/>
          <w:sz w:val="21"/>
          <w:szCs w:val="21"/>
          <w:highlight w:val="none"/>
        </w:rPr>
        <w:t>细微偏差是指投标文件在实质上响应招标文件要求，但在个别地方存在遗漏或者提供了不完整的技术信息和数据等情况，并且补正这些遗漏或者不完整不会对其他投标人造成不公平的结果。细微偏差不影响投标文件的有效性。评标委员会可书面要求存在细微偏差的投标人书面澄清。</w:t>
      </w:r>
    </w:p>
    <w:bookmarkEnd w:id="101"/>
    <w:p>
      <w:pPr>
        <w:pStyle w:val="26"/>
        <w:spacing w:line="360" w:lineRule="auto"/>
        <w:outlineLvl w:val="1"/>
        <w:rPr>
          <w:rFonts w:eastAsia="宋体"/>
          <w:b/>
          <w:bCs/>
          <w:color w:val="auto"/>
          <w:sz w:val="24"/>
          <w:szCs w:val="24"/>
          <w:highlight w:val="none"/>
        </w:rPr>
      </w:pPr>
      <w:bookmarkStart w:id="102" w:name="_Toc11836"/>
      <w:bookmarkStart w:id="103" w:name="_Toc179632560"/>
      <w:bookmarkStart w:id="104" w:name="_Toc152045542"/>
      <w:bookmarkStart w:id="105" w:name="_Toc144974510"/>
      <w:bookmarkStart w:id="106" w:name="_Toc152042318"/>
      <w:r>
        <w:rPr>
          <w:rFonts w:hint="eastAsia" w:eastAsia="宋体"/>
          <w:b/>
          <w:bCs/>
          <w:color w:val="auto"/>
          <w:sz w:val="24"/>
          <w:szCs w:val="24"/>
          <w:highlight w:val="none"/>
        </w:rPr>
        <w:t>2. 招标文件</w:t>
      </w:r>
      <w:bookmarkEnd w:id="102"/>
      <w:bookmarkEnd w:id="103"/>
      <w:bookmarkEnd w:id="104"/>
      <w:bookmarkEnd w:id="105"/>
      <w:bookmarkEnd w:id="106"/>
    </w:p>
    <w:p>
      <w:pPr>
        <w:pStyle w:val="26"/>
        <w:spacing w:line="360" w:lineRule="auto"/>
        <w:outlineLvl w:val="1"/>
        <w:rPr>
          <w:rFonts w:eastAsia="宋体"/>
          <w:b/>
          <w:bCs/>
          <w:color w:val="auto"/>
          <w:sz w:val="21"/>
          <w:szCs w:val="21"/>
          <w:highlight w:val="none"/>
        </w:rPr>
      </w:pPr>
      <w:bookmarkStart w:id="107" w:name="_Toc179632561"/>
      <w:bookmarkStart w:id="108" w:name="_Toc152042319"/>
      <w:bookmarkStart w:id="109" w:name="_Toc19225"/>
      <w:bookmarkStart w:id="110" w:name="_Toc144974511"/>
      <w:bookmarkStart w:id="111" w:name="_Toc152045543"/>
      <w:r>
        <w:rPr>
          <w:rFonts w:hint="eastAsia" w:eastAsia="宋体"/>
          <w:b/>
          <w:bCs/>
          <w:color w:val="auto"/>
          <w:sz w:val="21"/>
          <w:szCs w:val="21"/>
          <w:highlight w:val="none"/>
        </w:rPr>
        <w:t>2.1 招标文件的组成</w:t>
      </w:r>
      <w:bookmarkEnd w:id="107"/>
      <w:bookmarkEnd w:id="108"/>
      <w:bookmarkEnd w:id="109"/>
      <w:bookmarkEnd w:id="110"/>
      <w:bookmarkEnd w:id="111"/>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t>　</w:t>
      </w:r>
      <w:bookmarkStart w:id="112" w:name="_Toc14291"/>
      <w:r>
        <w:rPr>
          <w:rFonts w:hint="eastAsia" w:eastAsia="宋体"/>
          <w:color w:val="auto"/>
          <w:sz w:val="21"/>
          <w:szCs w:val="21"/>
          <w:highlight w:val="none"/>
        </w:rPr>
        <w:t>本招标文件包括：</w:t>
      </w:r>
      <w:bookmarkEnd w:id="112"/>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fldChar w:fldCharType="begin"/>
      </w:r>
      <w:r>
        <w:rPr>
          <w:color w:val="auto"/>
          <w:highlight w:val="none"/>
        </w:rPr>
        <w:instrText xml:space="preserve">HYPERLINK  \l "_Toc448154681"</w:instrText>
      </w:r>
      <w:r>
        <w:rPr>
          <w:rFonts w:hint="eastAsia" w:eastAsia="宋体"/>
          <w:color w:val="auto"/>
          <w:sz w:val="21"/>
          <w:szCs w:val="21"/>
          <w:highlight w:val="none"/>
        </w:rPr>
        <w:fldChar w:fldCharType="separate"/>
      </w:r>
      <w:r>
        <w:rPr>
          <w:rFonts w:hint="eastAsia" w:eastAsia="宋体"/>
          <w:color w:val="auto"/>
          <w:sz w:val="21"/>
          <w:szCs w:val="21"/>
          <w:highlight w:val="none"/>
        </w:rPr>
        <w:t>（1）招标公告</w:t>
      </w:r>
      <w:r>
        <w:rPr>
          <w:rFonts w:hint="eastAsia" w:eastAsia="宋体"/>
          <w:color w:val="auto"/>
          <w:sz w:val="21"/>
          <w:szCs w:val="21"/>
          <w:highlight w:val="none"/>
        </w:rPr>
        <w:fldChar w:fldCharType="end"/>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fldChar w:fldCharType="begin"/>
      </w:r>
      <w:r>
        <w:rPr>
          <w:color w:val="auto"/>
          <w:highlight w:val="none"/>
        </w:rPr>
        <w:instrText xml:space="preserve">HYPERLINK  \l "_Toc448154682"</w:instrText>
      </w:r>
      <w:r>
        <w:rPr>
          <w:rFonts w:hint="eastAsia" w:eastAsia="宋体"/>
          <w:color w:val="auto"/>
          <w:sz w:val="21"/>
          <w:szCs w:val="21"/>
          <w:highlight w:val="none"/>
        </w:rPr>
        <w:fldChar w:fldCharType="separate"/>
      </w:r>
      <w:r>
        <w:rPr>
          <w:rFonts w:hint="eastAsia" w:eastAsia="宋体"/>
          <w:color w:val="auto"/>
          <w:sz w:val="21"/>
          <w:szCs w:val="21"/>
          <w:highlight w:val="none"/>
        </w:rPr>
        <w:t>（2）投标人须知</w:t>
      </w:r>
      <w:r>
        <w:rPr>
          <w:rFonts w:hint="eastAsia" w:eastAsia="宋体"/>
          <w:color w:val="auto"/>
          <w:sz w:val="21"/>
          <w:szCs w:val="21"/>
          <w:highlight w:val="none"/>
        </w:rPr>
        <w:fldChar w:fldCharType="end"/>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fldChar w:fldCharType="begin"/>
      </w:r>
      <w:r>
        <w:rPr>
          <w:color w:val="auto"/>
          <w:highlight w:val="none"/>
        </w:rPr>
        <w:instrText xml:space="preserve">HYPERLINK  \l "_Toc448154694"</w:instrText>
      </w:r>
      <w:r>
        <w:rPr>
          <w:rFonts w:hint="eastAsia" w:eastAsia="宋体"/>
          <w:color w:val="auto"/>
          <w:sz w:val="21"/>
          <w:szCs w:val="21"/>
          <w:highlight w:val="none"/>
        </w:rPr>
        <w:fldChar w:fldCharType="separate"/>
      </w:r>
      <w:r>
        <w:rPr>
          <w:rFonts w:hint="eastAsia" w:eastAsia="宋体"/>
          <w:color w:val="auto"/>
          <w:sz w:val="21"/>
          <w:szCs w:val="21"/>
          <w:highlight w:val="none"/>
        </w:rPr>
        <w:t>（3）评标办法</w:t>
      </w:r>
      <w:r>
        <w:rPr>
          <w:rFonts w:hint="eastAsia" w:eastAsia="宋体"/>
          <w:color w:val="auto"/>
          <w:sz w:val="21"/>
          <w:szCs w:val="21"/>
          <w:highlight w:val="none"/>
        </w:rPr>
        <w:fldChar w:fldCharType="end"/>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fldChar w:fldCharType="begin"/>
      </w:r>
      <w:r>
        <w:rPr>
          <w:color w:val="auto"/>
          <w:highlight w:val="none"/>
        </w:rPr>
        <w:instrText xml:space="preserve">HYPERLINK  \l "_Toc448154701"</w:instrText>
      </w:r>
      <w:r>
        <w:rPr>
          <w:rFonts w:hint="eastAsia" w:eastAsia="宋体"/>
          <w:color w:val="auto"/>
          <w:sz w:val="21"/>
          <w:szCs w:val="21"/>
          <w:highlight w:val="none"/>
        </w:rPr>
        <w:fldChar w:fldCharType="separate"/>
      </w:r>
      <w:r>
        <w:rPr>
          <w:rFonts w:hint="eastAsia" w:eastAsia="宋体"/>
          <w:color w:val="auto"/>
          <w:sz w:val="21"/>
          <w:szCs w:val="21"/>
          <w:highlight w:val="none"/>
        </w:rPr>
        <w:t>（4）合同条款及格式</w:t>
      </w:r>
      <w:r>
        <w:rPr>
          <w:rFonts w:hint="eastAsia" w:eastAsia="宋体"/>
          <w:color w:val="auto"/>
          <w:sz w:val="21"/>
          <w:szCs w:val="21"/>
          <w:highlight w:val="none"/>
        </w:rPr>
        <w:fldChar w:fldCharType="end"/>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fldChar w:fldCharType="begin"/>
      </w:r>
      <w:r>
        <w:rPr>
          <w:color w:val="auto"/>
          <w:highlight w:val="none"/>
        </w:rPr>
        <w:instrText xml:space="preserve">HYPERLINK  \l "_Toc448154702"</w:instrText>
      </w:r>
      <w:r>
        <w:rPr>
          <w:rFonts w:hint="eastAsia" w:eastAsia="宋体"/>
          <w:color w:val="auto"/>
          <w:sz w:val="21"/>
          <w:szCs w:val="21"/>
          <w:highlight w:val="none"/>
        </w:rPr>
        <w:fldChar w:fldCharType="separate"/>
      </w:r>
      <w:r>
        <w:rPr>
          <w:rFonts w:hint="eastAsia" w:eastAsia="宋体"/>
          <w:color w:val="auto"/>
          <w:sz w:val="21"/>
          <w:szCs w:val="21"/>
          <w:highlight w:val="none"/>
        </w:rPr>
        <w:t>（5）工程量清单</w:t>
      </w:r>
      <w:r>
        <w:rPr>
          <w:rFonts w:hint="eastAsia" w:eastAsia="宋体"/>
          <w:color w:val="auto"/>
          <w:sz w:val="21"/>
          <w:szCs w:val="21"/>
          <w:highlight w:val="none"/>
        </w:rPr>
        <w:fldChar w:fldCharType="end"/>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fldChar w:fldCharType="begin"/>
      </w:r>
      <w:r>
        <w:rPr>
          <w:color w:val="auto"/>
          <w:highlight w:val="none"/>
        </w:rPr>
        <w:instrText xml:space="preserve">HYPERLINK  \l "_Toc448154702"</w:instrText>
      </w:r>
      <w:r>
        <w:rPr>
          <w:rFonts w:hint="eastAsia" w:eastAsia="宋体"/>
          <w:color w:val="auto"/>
          <w:sz w:val="21"/>
          <w:szCs w:val="21"/>
          <w:highlight w:val="none"/>
        </w:rPr>
        <w:fldChar w:fldCharType="separate"/>
      </w:r>
      <w:r>
        <w:rPr>
          <w:rFonts w:hint="eastAsia" w:eastAsia="宋体"/>
          <w:color w:val="auto"/>
          <w:sz w:val="21"/>
          <w:szCs w:val="21"/>
          <w:highlight w:val="none"/>
        </w:rPr>
        <w:t>（6）图纸（另附）</w:t>
      </w:r>
      <w:r>
        <w:rPr>
          <w:rFonts w:hint="eastAsia" w:eastAsia="宋体"/>
          <w:color w:val="auto"/>
          <w:sz w:val="21"/>
          <w:szCs w:val="21"/>
          <w:highlight w:val="none"/>
        </w:rPr>
        <w:fldChar w:fldCharType="end"/>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fldChar w:fldCharType="begin"/>
      </w:r>
      <w:r>
        <w:rPr>
          <w:color w:val="auto"/>
          <w:highlight w:val="none"/>
        </w:rPr>
        <w:instrText xml:space="preserve">HYPERLINK  \l "_Toc448154702"</w:instrText>
      </w:r>
      <w:r>
        <w:rPr>
          <w:rFonts w:hint="eastAsia" w:eastAsia="宋体"/>
          <w:color w:val="auto"/>
          <w:sz w:val="21"/>
          <w:szCs w:val="21"/>
          <w:highlight w:val="none"/>
        </w:rPr>
        <w:fldChar w:fldCharType="separate"/>
      </w:r>
      <w:r>
        <w:rPr>
          <w:rFonts w:hint="eastAsia" w:eastAsia="宋体"/>
          <w:color w:val="auto"/>
          <w:sz w:val="21"/>
          <w:szCs w:val="21"/>
          <w:highlight w:val="none"/>
        </w:rPr>
        <w:t>（7）技术标准和要求</w:t>
      </w:r>
      <w:r>
        <w:rPr>
          <w:rFonts w:hint="eastAsia" w:eastAsia="宋体"/>
          <w:color w:val="auto"/>
          <w:sz w:val="21"/>
          <w:szCs w:val="21"/>
          <w:highlight w:val="none"/>
        </w:rPr>
        <w:fldChar w:fldCharType="end"/>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fldChar w:fldCharType="begin"/>
      </w:r>
      <w:r>
        <w:rPr>
          <w:color w:val="auto"/>
          <w:highlight w:val="none"/>
        </w:rPr>
        <w:instrText xml:space="preserve">HYPERLINK  \l "_Toc448154703"</w:instrText>
      </w:r>
      <w:r>
        <w:rPr>
          <w:rFonts w:hint="eastAsia" w:eastAsia="宋体"/>
          <w:color w:val="auto"/>
          <w:sz w:val="21"/>
          <w:szCs w:val="21"/>
          <w:highlight w:val="none"/>
        </w:rPr>
        <w:fldChar w:fldCharType="separate"/>
      </w:r>
      <w:r>
        <w:rPr>
          <w:rFonts w:hint="eastAsia" w:eastAsia="宋体"/>
          <w:color w:val="auto"/>
          <w:sz w:val="21"/>
          <w:szCs w:val="21"/>
          <w:highlight w:val="none"/>
        </w:rPr>
        <w:t>（8）投标文件格式</w:t>
      </w:r>
      <w:r>
        <w:rPr>
          <w:rFonts w:hint="eastAsia" w:eastAsia="宋体"/>
          <w:color w:val="auto"/>
          <w:sz w:val="21"/>
          <w:szCs w:val="21"/>
          <w:highlight w:val="none"/>
        </w:rPr>
        <w:tab/>
      </w:r>
      <w:r>
        <w:rPr>
          <w:rFonts w:hint="eastAsia" w:eastAsia="宋体"/>
          <w:color w:val="auto"/>
          <w:sz w:val="21"/>
          <w:szCs w:val="21"/>
          <w:highlight w:val="none"/>
        </w:rPr>
        <w:fldChar w:fldCharType="end"/>
      </w:r>
    </w:p>
    <w:p>
      <w:pPr>
        <w:pStyle w:val="26"/>
        <w:spacing w:line="360" w:lineRule="auto"/>
        <w:ind w:firstLine="420" w:firstLineChars="200"/>
        <w:outlineLvl w:val="1"/>
        <w:rPr>
          <w:rFonts w:eastAsia="宋体"/>
          <w:color w:val="auto"/>
          <w:sz w:val="21"/>
          <w:szCs w:val="21"/>
          <w:highlight w:val="none"/>
        </w:rPr>
      </w:pPr>
      <w:bookmarkStart w:id="113" w:name="_Toc7888"/>
      <w:r>
        <w:rPr>
          <w:rFonts w:hint="eastAsia" w:eastAsia="宋体"/>
          <w:color w:val="auto"/>
          <w:sz w:val="21"/>
          <w:szCs w:val="21"/>
          <w:highlight w:val="none"/>
        </w:rPr>
        <w:t>根据本章第2.2款和第2.3款对招标文件所作的澄清、修改，构成招标文件的组成部分。</w:t>
      </w:r>
      <w:bookmarkEnd w:id="113"/>
    </w:p>
    <w:p>
      <w:pPr>
        <w:pStyle w:val="26"/>
        <w:spacing w:line="360" w:lineRule="auto"/>
        <w:ind w:firstLine="420" w:firstLineChars="200"/>
        <w:outlineLvl w:val="1"/>
        <w:rPr>
          <w:rFonts w:eastAsia="宋体"/>
          <w:color w:val="auto"/>
          <w:sz w:val="21"/>
          <w:szCs w:val="21"/>
          <w:highlight w:val="none"/>
        </w:rPr>
      </w:pPr>
      <w:bookmarkStart w:id="114" w:name="_Toc144974512"/>
      <w:bookmarkStart w:id="115" w:name="_Toc152045544"/>
      <w:bookmarkStart w:id="116" w:name="_Toc22253"/>
      <w:bookmarkStart w:id="117" w:name="_Toc152042320"/>
      <w:bookmarkStart w:id="118" w:name="_Toc179632562"/>
      <w:r>
        <w:rPr>
          <w:rFonts w:hint="eastAsia" w:eastAsia="宋体"/>
          <w:color w:val="auto"/>
          <w:sz w:val="21"/>
          <w:szCs w:val="21"/>
          <w:highlight w:val="none"/>
        </w:rPr>
        <w:t>当招标公告、招标文件的澄清或修改等在同一个内容的描述不一致时，以最后发出的文件为准。</w:t>
      </w:r>
    </w:p>
    <w:p>
      <w:pPr>
        <w:pStyle w:val="26"/>
        <w:spacing w:line="360" w:lineRule="auto"/>
        <w:outlineLvl w:val="1"/>
        <w:rPr>
          <w:rFonts w:eastAsia="宋体"/>
          <w:b/>
          <w:bCs/>
          <w:color w:val="auto"/>
          <w:sz w:val="21"/>
          <w:szCs w:val="21"/>
          <w:highlight w:val="none"/>
        </w:rPr>
      </w:pPr>
      <w:r>
        <w:rPr>
          <w:rFonts w:hint="eastAsia" w:eastAsia="宋体"/>
          <w:b/>
          <w:bCs/>
          <w:color w:val="auto"/>
          <w:sz w:val="21"/>
          <w:szCs w:val="21"/>
          <w:highlight w:val="none"/>
        </w:rPr>
        <w:t>2.2 招标文件的澄清</w:t>
      </w:r>
      <w:bookmarkEnd w:id="114"/>
      <w:bookmarkEnd w:id="115"/>
      <w:bookmarkEnd w:id="116"/>
      <w:bookmarkEnd w:id="117"/>
      <w:bookmarkEnd w:id="118"/>
    </w:p>
    <w:p>
      <w:pPr>
        <w:pStyle w:val="26"/>
        <w:spacing w:line="360" w:lineRule="auto"/>
        <w:ind w:firstLine="420" w:firstLineChars="200"/>
        <w:outlineLvl w:val="1"/>
        <w:rPr>
          <w:rFonts w:eastAsia="宋体"/>
          <w:color w:val="auto"/>
          <w:sz w:val="21"/>
          <w:szCs w:val="21"/>
          <w:highlight w:val="none"/>
        </w:rPr>
      </w:pPr>
      <w:bookmarkStart w:id="119" w:name="_Toc7267"/>
      <w:r>
        <w:rPr>
          <w:rFonts w:hint="eastAsia" w:eastAsia="宋体"/>
          <w:color w:val="auto"/>
          <w:sz w:val="21"/>
          <w:szCs w:val="21"/>
          <w:highlight w:val="none"/>
        </w:rPr>
        <w:t>2.2.1</w:t>
      </w:r>
      <w:bookmarkEnd w:id="119"/>
      <w:bookmarkStart w:id="120" w:name="_Toc152045545"/>
      <w:bookmarkStart w:id="121" w:name="_Toc152042321"/>
      <w:bookmarkStart w:id="122" w:name="_Toc144974513"/>
      <w:bookmarkStart w:id="123" w:name="_Toc179632563"/>
      <w:bookmarkStart w:id="124" w:name="_Toc8615"/>
      <w:r>
        <w:rPr>
          <w:rFonts w:hint="eastAsia" w:eastAsia="宋体"/>
          <w:color w:val="auto"/>
          <w:sz w:val="21"/>
          <w:szCs w:val="21"/>
          <w:highlight w:val="none"/>
        </w:rPr>
        <w:t>投标人应仔细阅读和检查招标文件的全部内容。如发现缺页或附件不全，应及时在</w:t>
      </w:r>
      <w:r>
        <w:rPr>
          <w:rFonts w:hint="eastAsia" w:eastAsia="宋体"/>
          <w:color w:val="auto"/>
          <w:sz w:val="21"/>
          <w:szCs w:val="21"/>
          <w:highlight w:val="none"/>
          <w:lang w:val="en-US" w:eastAsia="zh-CN"/>
        </w:rPr>
        <w:t>平顶山公共资源交易中心</w:t>
      </w:r>
      <w:r>
        <w:rPr>
          <w:rFonts w:hint="eastAsia" w:eastAsia="宋体"/>
          <w:color w:val="auto"/>
          <w:sz w:val="21"/>
          <w:szCs w:val="21"/>
          <w:highlight w:val="none"/>
        </w:rPr>
        <w:t>系统中提出，以便补齐。如有疑问，应在投标人须知前附表规定的投标截止时间15天前在电子交易系统中提出。</w:t>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t>2.2.2  招标文件的澄清在投标人须知前附表规定的投标截止时间15天前在电子交易系统中澄清。</w:t>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t>2.2.3投标截止时间：投标人须知前附表。</w:t>
      </w:r>
    </w:p>
    <w:p>
      <w:pPr>
        <w:pStyle w:val="26"/>
        <w:spacing w:line="360" w:lineRule="auto"/>
        <w:outlineLvl w:val="1"/>
        <w:rPr>
          <w:rFonts w:eastAsia="宋体"/>
          <w:b/>
          <w:bCs/>
          <w:color w:val="auto"/>
          <w:sz w:val="21"/>
          <w:szCs w:val="21"/>
          <w:highlight w:val="none"/>
        </w:rPr>
      </w:pPr>
      <w:r>
        <w:rPr>
          <w:rFonts w:hint="eastAsia" w:eastAsia="宋体"/>
          <w:b/>
          <w:bCs/>
          <w:color w:val="auto"/>
          <w:sz w:val="21"/>
          <w:szCs w:val="21"/>
          <w:highlight w:val="none"/>
        </w:rPr>
        <w:t>2.3 招标文件的修改</w:t>
      </w:r>
      <w:bookmarkEnd w:id="120"/>
      <w:bookmarkEnd w:id="121"/>
      <w:bookmarkEnd w:id="122"/>
      <w:bookmarkEnd w:id="123"/>
      <w:bookmarkEnd w:id="124"/>
    </w:p>
    <w:p>
      <w:pPr>
        <w:pStyle w:val="26"/>
        <w:spacing w:line="360" w:lineRule="auto"/>
        <w:ind w:firstLine="420" w:firstLineChars="200"/>
        <w:outlineLvl w:val="1"/>
        <w:rPr>
          <w:rFonts w:eastAsia="宋体"/>
          <w:color w:val="auto"/>
          <w:sz w:val="21"/>
          <w:szCs w:val="21"/>
          <w:highlight w:val="none"/>
        </w:rPr>
      </w:pPr>
      <w:bookmarkStart w:id="125" w:name="_Toc152045546"/>
      <w:bookmarkStart w:id="126" w:name="_Toc15583"/>
      <w:bookmarkStart w:id="127" w:name="_Toc152042322"/>
      <w:bookmarkStart w:id="128" w:name="_Toc179632564"/>
      <w:bookmarkStart w:id="129" w:name="_Toc144974514"/>
      <w:r>
        <w:rPr>
          <w:rFonts w:hint="eastAsia" w:eastAsia="宋体"/>
          <w:color w:val="auto"/>
          <w:sz w:val="21"/>
          <w:szCs w:val="21"/>
          <w:highlight w:val="none"/>
        </w:rPr>
        <w:t xml:space="preserve">在投标截止时间 15 天前，招标人可以在电子交易系统中修改招标文件。  </w:t>
      </w:r>
    </w:p>
    <w:p>
      <w:pPr>
        <w:pStyle w:val="26"/>
        <w:spacing w:line="360" w:lineRule="auto"/>
        <w:outlineLvl w:val="1"/>
        <w:rPr>
          <w:rFonts w:eastAsia="宋体"/>
          <w:b/>
          <w:bCs/>
          <w:color w:val="auto"/>
          <w:sz w:val="24"/>
          <w:szCs w:val="24"/>
          <w:highlight w:val="none"/>
        </w:rPr>
      </w:pPr>
      <w:r>
        <w:rPr>
          <w:rFonts w:hint="eastAsia" w:eastAsia="宋体"/>
          <w:b/>
          <w:bCs/>
          <w:color w:val="auto"/>
          <w:sz w:val="24"/>
          <w:szCs w:val="24"/>
          <w:highlight w:val="none"/>
        </w:rPr>
        <w:t>3. 投标文件</w:t>
      </w:r>
      <w:bookmarkEnd w:id="125"/>
      <w:bookmarkEnd w:id="126"/>
      <w:bookmarkEnd w:id="127"/>
      <w:bookmarkEnd w:id="128"/>
      <w:bookmarkEnd w:id="129"/>
    </w:p>
    <w:p>
      <w:pPr>
        <w:pStyle w:val="26"/>
        <w:spacing w:line="360" w:lineRule="auto"/>
        <w:outlineLvl w:val="1"/>
        <w:rPr>
          <w:rFonts w:eastAsia="宋体"/>
          <w:b/>
          <w:bCs/>
          <w:color w:val="auto"/>
          <w:sz w:val="21"/>
          <w:szCs w:val="21"/>
          <w:highlight w:val="none"/>
        </w:rPr>
      </w:pPr>
      <w:bookmarkStart w:id="130" w:name="_Toc179632565"/>
      <w:bookmarkStart w:id="131" w:name="_Toc152045547"/>
      <w:bookmarkStart w:id="132" w:name="_Toc144974515"/>
      <w:bookmarkStart w:id="133" w:name="_Toc152042323"/>
      <w:bookmarkStart w:id="134" w:name="_Toc6561"/>
      <w:r>
        <w:rPr>
          <w:rFonts w:hint="eastAsia" w:eastAsia="宋体"/>
          <w:b/>
          <w:bCs/>
          <w:color w:val="auto"/>
          <w:sz w:val="21"/>
          <w:szCs w:val="21"/>
          <w:highlight w:val="none"/>
        </w:rPr>
        <w:t>3.1 投标文件的组成</w:t>
      </w:r>
      <w:bookmarkEnd w:id="130"/>
      <w:bookmarkEnd w:id="131"/>
      <w:bookmarkEnd w:id="132"/>
      <w:bookmarkEnd w:id="133"/>
      <w:bookmarkEnd w:id="134"/>
    </w:p>
    <w:p>
      <w:pPr>
        <w:pStyle w:val="26"/>
        <w:spacing w:line="360" w:lineRule="auto"/>
        <w:ind w:firstLine="420" w:firstLineChars="200"/>
        <w:outlineLvl w:val="1"/>
        <w:rPr>
          <w:rFonts w:eastAsia="宋体"/>
          <w:color w:val="auto"/>
          <w:sz w:val="21"/>
          <w:szCs w:val="21"/>
          <w:highlight w:val="none"/>
        </w:rPr>
      </w:pPr>
      <w:bookmarkStart w:id="135" w:name="_Toc8746"/>
      <w:r>
        <w:rPr>
          <w:rFonts w:hint="eastAsia" w:eastAsia="宋体"/>
          <w:color w:val="auto"/>
          <w:sz w:val="21"/>
          <w:szCs w:val="21"/>
          <w:highlight w:val="none"/>
        </w:rPr>
        <w:t>3.1.1投标文件应包括下列内容：</w:t>
      </w:r>
      <w:bookmarkEnd w:id="135"/>
    </w:p>
    <w:p>
      <w:pPr>
        <w:pStyle w:val="26"/>
        <w:spacing w:line="360" w:lineRule="auto"/>
        <w:ind w:firstLine="420" w:firstLineChars="200"/>
        <w:outlineLvl w:val="1"/>
        <w:rPr>
          <w:rFonts w:eastAsia="宋体"/>
          <w:color w:val="auto"/>
          <w:sz w:val="21"/>
          <w:szCs w:val="21"/>
          <w:highlight w:val="none"/>
        </w:rPr>
      </w:pPr>
      <w:bookmarkStart w:id="136" w:name="_Toc23733"/>
      <w:bookmarkStart w:id="137" w:name="_Toc144974516"/>
      <w:bookmarkStart w:id="138" w:name="_Toc152042324"/>
      <w:bookmarkStart w:id="139" w:name="_Toc179632566"/>
      <w:bookmarkStart w:id="140" w:name="_Toc152045548"/>
      <w:r>
        <w:rPr>
          <w:rFonts w:hint="eastAsia" w:eastAsia="宋体"/>
          <w:color w:val="auto"/>
          <w:sz w:val="21"/>
          <w:szCs w:val="21"/>
          <w:highlight w:val="none"/>
        </w:rPr>
        <w:t>（1）投标函及投标函附录</w:t>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t>（2）法定代表人身份证明</w:t>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t>（3）授权委托书</w:t>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t>（4）投标保证金</w:t>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t xml:space="preserve">（5）已标价工程量清单 </w:t>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t>（6）施工组织设计</w:t>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t>（7）项目管理机构</w:t>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t>（8）资格审查资料</w:t>
      </w:r>
    </w:p>
    <w:p>
      <w:pPr>
        <w:pStyle w:val="26"/>
        <w:spacing w:line="360" w:lineRule="auto"/>
        <w:ind w:firstLine="420" w:firstLineChars="200"/>
        <w:outlineLvl w:val="1"/>
        <w:rPr>
          <w:color w:val="auto"/>
          <w:highlight w:val="none"/>
          <w:lang w:val="en-US" w:eastAsia="zh-CN"/>
        </w:rPr>
      </w:pPr>
      <w:r>
        <w:rPr>
          <w:rFonts w:hint="eastAsia" w:eastAsia="宋体"/>
          <w:color w:val="auto"/>
          <w:sz w:val="21"/>
          <w:szCs w:val="21"/>
          <w:highlight w:val="none"/>
        </w:rPr>
        <w:t>（9）其他材料</w:t>
      </w:r>
    </w:p>
    <w:p>
      <w:pPr>
        <w:pStyle w:val="26"/>
        <w:spacing w:line="360" w:lineRule="auto"/>
        <w:outlineLvl w:val="1"/>
        <w:rPr>
          <w:rFonts w:eastAsia="宋体"/>
          <w:b/>
          <w:bCs/>
          <w:color w:val="auto"/>
          <w:sz w:val="21"/>
          <w:szCs w:val="21"/>
          <w:highlight w:val="none"/>
        </w:rPr>
      </w:pPr>
      <w:r>
        <w:rPr>
          <w:rFonts w:hint="eastAsia" w:eastAsia="宋体"/>
          <w:b/>
          <w:bCs/>
          <w:color w:val="auto"/>
          <w:sz w:val="21"/>
          <w:szCs w:val="21"/>
          <w:highlight w:val="none"/>
        </w:rPr>
        <w:t>3.2 投标总报价</w:t>
      </w:r>
      <w:bookmarkEnd w:id="136"/>
      <w:bookmarkEnd w:id="137"/>
      <w:bookmarkEnd w:id="138"/>
      <w:bookmarkEnd w:id="139"/>
      <w:bookmarkEnd w:id="140"/>
    </w:p>
    <w:p>
      <w:pPr>
        <w:pStyle w:val="26"/>
        <w:spacing w:line="360" w:lineRule="auto"/>
        <w:ind w:firstLine="420" w:firstLineChars="200"/>
        <w:outlineLvl w:val="1"/>
        <w:rPr>
          <w:rFonts w:eastAsia="宋体"/>
          <w:color w:val="auto"/>
          <w:sz w:val="21"/>
          <w:szCs w:val="21"/>
          <w:highlight w:val="none"/>
        </w:rPr>
      </w:pPr>
      <w:bookmarkStart w:id="141" w:name="_Toc29803"/>
      <w:bookmarkStart w:id="142" w:name="_Toc21814"/>
      <w:bookmarkStart w:id="143" w:name="_Toc144974517"/>
      <w:bookmarkStart w:id="144" w:name="_Toc152042325"/>
      <w:bookmarkStart w:id="145" w:name="_Toc152045549"/>
      <w:bookmarkStart w:id="146" w:name="_Toc179632567"/>
      <w:r>
        <w:rPr>
          <w:rFonts w:hint="eastAsia" w:eastAsia="宋体"/>
          <w:color w:val="auto"/>
          <w:sz w:val="21"/>
          <w:szCs w:val="21"/>
          <w:highlight w:val="none"/>
        </w:rPr>
        <w:t>3.2.1本工程的投标总报价采用工程量清单报价，投标总报价应包括完成本项目招标工程发包范围内的全部工作内容所需的工程成本、利润、税金、以及风险因素等全部费用。</w:t>
      </w:r>
      <w:bookmarkEnd w:id="141"/>
    </w:p>
    <w:p>
      <w:pPr>
        <w:pStyle w:val="26"/>
        <w:spacing w:line="360" w:lineRule="auto"/>
        <w:ind w:firstLine="420" w:firstLineChars="200"/>
        <w:outlineLvl w:val="1"/>
        <w:rPr>
          <w:rFonts w:eastAsia="宋体"/>
          <w:color w:val="auto"/>
          <w:sz w:val="21"/>
          <w:szCs w:val="21"/>
          <w:highlight w:val="none"/>
        </w:rPr>
      </w:pPr>
      <w:bookmarkStart w:id="147" w:name="_Toc12201"/>
      <w:r>
        <w:rPr>
          <w:rFonts w:hint="eastAsia" w:eastAsia="宋体"/>
          <w:color w:val="auto"/>
          <w:sz w:val="21"/>
          <w:szCs w:val="21"/>
          <w:highlight w:val="none"/>
        </w:rPr>
        <w:t>投标人在投标截止时间前修改投标总报价的，应同时修改第五章“工程量清单”中的相应报价。此修改需符合本章第4.</w:t>
      </w:r>
      <w:r>
        <w:rPr>
          <w:rFonts w:hint="eastAsia" w:eastAsia="宋体"/>
          <w:color w:val="auto"/>
          <w:sz w:val="21"/>
          <w:szCs w:val="21"/>
          <w:highlight w:val="none"/>
          <w:lang w:val="en-US" w:eastAsia="zh-CN"/>
        </w:rPr>
        <w:t>2</w:t>
      </w:r>
      <w:r>
        <w:rPr>
          <w:rFonts w:hint="eastAsia" w:eastAsia="宋体"/>
          <w:color w:val="auto"/>
          <w:sz w:val="21"/>
          <w:szCs w:val="21"/>
          <w:highlight w:val="none"/>
        </w:rPr>
        <w:t>款的有关要求。</w:t>
      </w:r>
      <w:bookmarkEnd w:id="147"/>
    </w:p>
    <w:p>
      <w:pPr>
        <w:pStyle w:val="26"/>
        <w:spacing w:line="360" w:lineRule="auto"/>
        <w:ind w:firstLine="420" w:firstLineChars="200"/>
        <w:outlineLvl w:val="1"/>
        <w:rPr>
          <w:rFonts w:eastAsia="宋体"/>
          <w:color w:val="auto"/>
          <w:sz w:val="21"/>
          <w:szCs w:val="21"/>
          <w:highlight w:val="none"/>
        </w:rPr>
      </w:pPr>
      <w:bookmarkStart w:id="148" w:name="_Toc11008"/>
      <w:r>
        <w:rPr>
          <w:rFonts w:hint="eastAsia" w:eastAsia="宋体"/>
          <w:color w:val="auto"/>
          <w:sz w:val="21"/>
          <w:szCs w:val="21"/>
          <w:highlight w:val="none"/>
        </w:rPr>
        <w:t>3.2.2 招标人将在“投标人须知前附表”公布招标控制价，超出招标控制价的投标总报价为无效报价，其投标文件将不进入详细评审程序。</w:t>
      </w:r>
      <w:bookmarkEnd w:id="148"/>
    </w:p>
    <w:p>
      <w:pPr>
        <w:pStyle w:val="26"/>
        <w:spacing w:line="360" w:lineRule="auto"/>
        <w:outlineLvl w:val="1"/>
        <w:rPr>
          <w:rFonts w:eastAsia="宋体"/>
          <w:b/>
          <w:bCs/>
          <w:color w:val="auto"/>
          <w:sz w:val="21"/>
          <w:szCs w:val="21"/>
          <w:highlight w:val="none"/>
        </w:rPr>
      </w:pPr>
      <w:r>
        <w:rPr>
          <w:rFonts w:hint="eastAsia" w:eastAsia="宋体"/>
          <w:b/>
          <w:bCs/>
          <w:color w:val="auto"/>
          <w:sz w:val="21"/>
          <w:szCs w:val="21"/>
          <w:highlight w:val="none"/>
        </w:rPr>
        <w:t>3.3 投标有效期</w:t>
      </w:r>
      <w:bookmarkEnd w:id="142"/>
      <w:bookmarkEnd w:id="143"/>
      <w:bookmarkEnd w:id="144"/>
      <w:bookmarkEnd w:id="145"/>
      <w:bookmarkEnd w:id="146"/>
    </w:p>
    <w:p>
      <w:pPr>
        <w:pStyle w:val="26"/>
        <w:spacing w:line="360" w:lineRule="auto"/>
        <w:ind w:firstLine="420" w:firstLineChars="200"/>
        <w:outlineLvl w:val="1"/>
        <w:rPr>
          <w:rFonts w:eastAsia="宋体"/>
          <w:color w:val="auto"/>
          <w:sz w:val="21"/>
          <w:szCs w:val="21"/>
          <w:highlight w:val="none"/>
        </w:rPr>
      </w:pPr>
      <w:bookmarkStart w:id="149" w:name="_Toc22423"/>
      <w:r>
        <w:rPr>
          <w:rFonts w:hint="eastAsia" w:eastAsia="宋体"/>
          <w:color w:val="auto"/>
          <w:sz w:val="21"/>
          <w:szCs w:val="21"/>
          <w:highlight w:val="none"/>
        </w:rPr>
        <w:t>3.3.1 在投标人须知前附表规定的投标有效期内，投标人不得要求撤销或修改其投标文件。</w:t>
      </w:r>
      <w:bookmarkEnd w:id="149"/>
    </w:p>
    <w:p>
      <w:pPr>
        <w:pStyle w:val="26"/>
        <w:spacing w:line="360" w:lineRule="auto"/>
        <w:ind w:firstLine="420" w:firstLineChars="200"/>
        <w:outlineLvl w:val="1"/>
        <w:rPr>
          <w:rFonts w:eastAsia="宋体"/>
          <w:color w:val="auto"/>
          <w:sz w:val="21"/>
          <w:szCs w:val="21"/>
          <w:highlight w:val="none"/>
        </w:rPr>
      </w:pPr>
      <w:bookmarkStart w:id="150" w:name="_Toc3163"/>
      <w:r>
        <w:rPr>
          <w:rFonts w:hint="eastAsia" w:eastAsia="宋体"/>
          <w:color w:val="auto"/>
          <w:sz w:val="21"/>
          <w:szCs w:val="21"/>
          <w:highlight w:val="none"/>
        </w:rPr>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bookmarkEnd w:id="150"/>
      <w:r>
        <w:rPr>
          <w:rFonts w:hint="eastAsia" w:eastAsia="宋体"/>
          <w:color w:val="auto"/>
          <w:sz w:val="21"/>
          <w:szCs w:val="21"/>
          <w:highlight w:val="none"/>
        </w:rPr>
        <w:t xml:space="preserve"> </w:t>
      </w:r>
    </w:p>
    <w:p>
      <w:pPr>
        <w:pStyle w:val="26"/>
        <w:spacing w:line="360" w:lineRule="auto"/>
        <w:outlineLvl w:val="1"/>
        <w:rPr>
          <w:rFonts w:eastAsia="宋体"/>
          <w:b/>
          <w:bCs/>
          <w:color w:val="auto"/>
          <w:sz w:val="21"/>
          <w:szCs w:val="21"/>
          <w:highlight w:val="none"/>
        </w:rPr>
      </w:pPr>
      <w:bookmarkStart w:id="151" w:name="_Toc144974518"/>
      <w:bookmarkStart w:id="152" w:name="_Toc15752"/>
      <w:bookmarkStart w:id="153" w:name="_Toc179632568"/>
      <w:bookmarkStart w:id="154" w:name="_Toc152042326"/>
      <w:bookmarkStart w:id="155" w:name="_Toc152045550"/>
      <w:r>
        <w:rPr>
          <w:rFonts w:hint="eastAsia" w:eastAsia="宋体"/>
          <w:b/>
          <w:bCs/>
          <w:color w:val="auto"/>
          <w:sz w:val="21"/>
          <w:szCs w:val="21"/>
          <w:highlight w:val="none"/>
        </w:rPr>
        <w:t>3.4 投标保证金</w:t>
      </w:r>
      <w:bookmarkEnd w:id="151"/>
      <w:bookmarkEnd w:id="152"/>
      <w:bookmarkEnd w:id="153"/>
      <w:bookmarkEnd w:id="154"/>
      <w:bookmarkEnd w:id="155"/>
    </w:p>
    <w:p>
      <w:pPr>
        <w:pStyle w:val="26"/>
        <w:spacing w:line="360" w:lineRule="auto"/>
        <w:ind w:firstLine="420" w:firstLineChars="200"/>
        <w:outlineLvl w:val="1"/>
        <w:rPr>
          <w:rFonts w:eastAsia="宋体"/>
          <w:color w:val="auto"/>
          <w:sz w:val="21"/>
          <w:szCs w:val="21"/>
          <w:highlight w:val="none"/>
        </w:rPr>
      </w:pPr>
      <w:bookmarkStart w:id="156" w:name="_Toc29184"/>
      <w:r>
        <w:rPr>
          <w:rFonts w:hint="eastAsia" w:eastAsia="宋体"/>
          <w:color w:val="auto"/>
          <w:sz w:val="21"/>
          <w:szCs w:val="21"/>
          <w:highlight w:val="none"/>
        </w:rPr>
        <w:t>3.4.1 投标人在递交投标文件的同时，应按投标人须知前附表规定的金额、担保形式和第八章“投标文件格式”规定的投标保证金格式递交投标保证金，并作为其投标文件的组成部分。</w:t>
      </w:r>
      <w:bookmarkEnd w:id="156"/>
    </w:p>
    <w:p>
      <w:pPr>
        <w:pStyle w:val="26"/>
        <w:spacing w:line="360" w:lineRule="auto"/>
        <w:ind w:firstLine="420" w:firstLineChars="200"/>
        <w:outlineLvl w:val="1"/>
        <w:rPr>
          <w:rFonts w:eastAsia="宋体"/>
          <w:color w:val="auto"/>
          <w:sz w:val="21"/>
          <w:szCs w:val="21"/>
          <w:highlight w:val="none"/>
        </w:rPr>
      </w:pPr>
      <w:bookmarkStart w:id="157" w:name="_Toc6475"/>
      <w:r>
        <w:rPr>
          <w:rFonts w:hint="eastAsia" w:eastAsia="宋体"/>
          <w:color w:val="auto"/>
          <w:sz w:val="21"/>
          <w:szCs w:val="21"/>
          <w:highlight w:val="none"/>
        </w:rPr>
        <w:t>3.4.2 投标人不按本章第3.4.1项要求提交投标保证金的，其投标文件作废标处理。</w:t>
      </w:r>
      <w:bookmarkEnd w:id="157"/>
    </w:p>
    <w:p>
      <w:pPr>
        <w:pStyle w:val="26"/>
        <w:spacing w:line="360" w:lineRule="auto"/>
        <w:ind w:firstLine="420" w:firstLineChars="200"/>
        <w:outlineLvl w:val="1"/>
        <w:rPr>
          <w:rFonts w:eastAsia="宋体"/>
          <w:color w:val="auto"/>
          <w:sz w:val="21"/>
          <w:szCs w:val="21"/>
          <w:highlight w:val="none"/>
        </w:rPr>
      </w:pPr>
      <w:bookmarkStart w:id="158" w:name="_Toc16197"/>
      <w:r>
        <w:rPr>
          <w:rFonts w:hint="eastAsia" w:eastAsia="宋体"/>
          <w:color w:val="auto"/>
          <w:sz w:val="21"/>
          <w:szCs w:val="21"/>
          <w:highlight w:val="none"/>
        </w:rPr>
        <w:t>3.4.3 招标人与中标人签订合同后5日内，向未中标的投标人和中标人退还投标保证金。</w:t>
      </w:r>
      <w:bookmarkEnd w:id="158"/>
    </w:p>
    <w:p>
      <w:pPr>
        <w:pStyle w:val="26"/>
        <w:spacing w:line="360" w:lineRule="auto"/>
        <w:ind w:firstLine="420" w:firstLineChars="200"/>
        <w:outlineLvl w:val="1"/>
        <w:rPr>
          <w:rFonts w:eastAsia="宋体"/>
          <w:color w:val="auto"/>
          <w:sz w:val="21"/>
          <w:szCs w:val="21"/>
          <w:highlight w:val="none"/>
        </w:rPr>
      </w:pPr>
      <w:bookmarkStart w:id="159" w:name="_Toc31733"/>
      <w:r>
        <w:rPr>
          <w:rFonts w:hint="eastAsia" w:eastAsia="宋体"/>
          <w:color w:val="auto"/>
          <w:sz w:val="21"/>
          <w:szCs w:val="21"/>
          <w:highlight w:val="none"/>
        </w:rPr>
        <w:t>3.4.4 有下列情形之一的，投标保证金将不予退还：</w:t>
      </w:r>
      <w:bookmarkEnd w:id="159"/>
      <w:r>
        <w:rPr>
          <w:rFonts w:hint="eastAsia" w:eastAsia="宋体"/>
          <w:color w:val="auto"/>
          <w:sz w:val="21"/>
          <w:szCs w:val="21"/>
          <w:highlight w:val="none"/>
        </w:rPr>
        <w:t xml:space="preserve"> </w:t>
      </w:r>
    </w:p>
    <w:p>
      <w:pPr>
        <w:pStyle w:val="26"/>
        <w:spacing w:line="360" w:lineRule="auto"/>
        <w:ind w:firstLine="420" w:firstLineChars="200"/>
        <w:outlineLvl w:val="1"/>
        <w:rPr>
          <w:rFonts w:eastAsia="宋体"/>
          <w:color w:val="auto"/>
          <w:sz w:val="21"/>
          <w:szCs w:val="21"/>
          <w:highlight w:val="none"/>
        </w:rPr>
      </w:pPr>
      <w:bookmarkStart w:id="160" w:name="_Toc29559"/>
      <w:r>
        <w:rPr>
          <w:rFonts w:hint="eastAsia" w:eastAsia="宋体"/>
          <w:color w:val="auto"/>
          <w:sz w:val="21"/>
          <w:szCs w:val="21"/>
          <w:highlight w:val="none"/>
        </w:rPr>
        <w:t>（1）投标人在规定的投标有效期内撤销或修改其投标文件；</w:t>
      </w:r>
      <w:bookmarkEnd w:id="160"/>
    </w:p>
    <w:p>
      <w:pPr>
        <w:pStyle w:val="26"/>
        <w:spacing w:line="360" w:lineRule="auto"/>
        <w:ind w:firstLine="420" w:firstLineChars="200"/>
        <w:outlineLvl w:val="1"/>
        <w:rPr>
          <w:rFonts w:eastAsia="宋体"/>
          <w:color w:val="auto"/>
          <w:sz w:val="21"/>
          <w:szCs w:val="21"/>
          <w:highlight w:val="none"/>
        </w:rPr>
      </w:pPr>
      <w:bookmarkStart w:id="161" w:name="_Toc6127"/>
      <w:r>
        <w:rPr>
          <w:rFonts w:hint="eastAsia" w:eastAsia="宋体"/>
          <w:color w:val="auto"/>
          <w:sz w:val="21"/>
          <w:szCs w:val="21"/>
          <w:highlight w:val="none"/>
        </w:rPr>
        <w:t>（2）中标人在收到中标通知书后，无正当理由拒签合同协议书或未按招标文件规定提交履约担保</w:t>
      </w:r>
      <w:bookmarkEnd w:id="161"/>
      <w:r>
        <w:rPr>
          <w:rFonts w:hint="eastAsia" w:eastAsia="宋体"/>
          <w:color w:val="auto"/>
          <w:sz w:val="21"/>
          <w:szCs w:val="21"/>
          <w:highlight w:val="none"/>
        </w:rPr>
        <w:t>；</w:t>
      </w:r>
    </w:p>
    <w:p>
      <w:pPr>
        <w:pStyle w:val="26"/>
        <w:spacing w:line="360" w:lineRule="auto"/>
        <w:ind w:firstLine="420" w:firstLineChars="200"/>
        <w:outlineLvl w:val="1"/>
        <w:rPr>
          <w:rFonts w:eastAsia="宋体"/>
          <w:color w:val="auto"/>
          <w:sz w:val="21"/>
          <w:szCs w:val="21"/>
          <w:highlight w:val="none"/>
        </w:rPr>
      </w:pPr>
      <w:r>
        <w:rPr>
          <w:rFonts w:hint="eastAsia" w:eastAsia="宋体"/>
          <w:color w:val="auto"/>
          <w:sz w:val="21"/>
          <w:szCs w:val="21"/>
          <w:highlight w:val="none"/>
        </w:rPr>
        <w:t>（3）投标人提供虚假资料。</w:t>
      </w:r>
    </w:p>
    <w:p>
      <w:pPr>
        <w:pStyle w:val="26"/>
        <w:spacing w:line="360" w:lineRule="auto"/>
        <w:outlineLvl w:val="1"/>
        <w:rPr>
          <w:rFonts w:eastAsia="宋体"/>
          <w:b/>
          <w:bCs/>
          <w:color w:val="auto"/>
          <w:sz w:val="21"/>
          <w:szCs w:val="21"/>
          <w:highlight w:val="none"/>
        </w:rPr>
      </w:pPr>
      <w:bookmarkStart w:id="162" w:name="_Toc152042328"/>
      <w:bookmarkStart w:id="163" w:name="_Toc179632570"/>
      <w:bookmarkStart w:id="164" w:name="_Toc144974520"/>
      <w:bookmarkStart w:id="165" w:name="_Toc3712"/>
      <w:bookmarkStart w:id="166" w:name="_Toc152045552"/>
      <w:r>
        <w:rPr>
          <w:rFonts w:hint="eastAsia" w:eastAsia="宋体"/>
          <w:b/>
          <w:bCs/>
          <w:color w:val="auto"/>
          <w:sz w:val="21"/>
          <w:szCs w:val="21"/>
          <w:highlight w:val="none"/>
        </w:rPr>
        <w:t>3.5 资格审查资料</w:t>
      </w:r>
      <w:bookmarkEnd w:id="162"/>
      <w:bookmarkEnd w:id="163"/>
      <w:bookmarkEnd w:id="164"/>
      <w:bookmarkEnd w:id="165"/>
      <w:bookmarkEnd w:id="166"/>
    </w:p>
    <w:p>
      <w:pPr>
        <w:pStyle w:val="26"/>
        <w:spacing w:line="360" w:lineRule="auto"/>
        <w:ind w:firstLine="422" w:firstLineChars="200"/>
        <w:outlineLvl w:val="1"/>
        <w:rPr>
          <w:rFonts w:eastAsia="宋体"/>
          <w:b/>
          <w:bCs/>
          <w:color w:val="auto"/>
          <w:sz w:val="21"/>
          <w:szCs w:val="21"/>
          <w:highlight w:val="none"/>
        </w:rPr>
      </w:pPr>
      <w:bookmarkStart w:id="167" w:name="_Toc152045553"/>
      <w:bookmarkStart w:id="168" w:name="_Toc152042329"/>
      <w:bookmarkStart w:id="169" w:name="_Toc144974521"/>
      <w:bookmarkStart w:id="170" w:name="_Toc179632571"/>
      <w:r>
        <w:rPr>
          <w:rFonts w:hint="eastAsia" w:eastAsia="宋体"/>
          <w:b/>
          <w:bCs/>
          <w:color w:val="auto"/>
          <w:sz w:val="21"/>
          <w:szCs w:val="21"/>
          <w:highlight w:val="none"/>
        </w:rPr>
        <w:t>见招标文件第二章“投标人须知前附表”第1.4.1项。</w:t>
      </w:r>
    </w:p>
    <w:p>
      <w:pPr>
        <w:widowControl/>
        <w:spacing w:line="440" w:lineRule="exact"/>
        <w:rPr>
          <w:rFonts w:hint="eastAsia" w:ascii="宋体"/>
          <w:b/>
          <w:bCs/>
          <w:color w:val="auto"/>
          <w:szCs w:val="21"/>
          <w:highlight w:val="none"/>
        </w:rPr>
      </w:pPr>
      <w:bookmarkStart w:id="171" w:name="_Toc26639"/>
      <w:r>
        <w:rPr>
          <w:rFonts w:hint="eastAsia" w:ascii="宋体"/>
          <w:b/>
          <w:bCs/>
          <w:color w:val="auto"/>
          <w:szCs w:val="21"/>
          <w:highlight w:val="none"/>
        </w:rPr>
        <w:t>3.6 备选投标方案</w:t>
      </w:r>
      <w:bookmarkEnd w:id="171"/>
      <w:bookmarkStart w:id="172" w:name="_Toc9395"/>
    </w:p>
    <w:p>
      <w:pPr>
        <w:widowControl/>
        <w:spacing w:line="440" w:lineRule="exact"/>
        <w:ind w:firstLine="420"/>
        <w:rPr>
          <w:rFonts w:hint="eastAsia" w:ascii="宋体"/>
          <w:color w:val="auto"/>
          <w:szCs w:val="21"/>
          <w:highlight w:val="none"/>
        </w:rPr>
      </w:pPr>
      <w:r>
        <w:rPr>
          <w:rFonts w:hint="eastAsia" w:ascii="宋体"/>
          <w:color w:val="auto"/>
          <w:szCs w:val="21"/>
          <w:highlight w:val="none"/>
        </w:rPr>
        <w:t>投标人不得递交备选投标方案。</w:t>
      </w:r>
      <w:bookmarkEnd w:id="172"/>
      <w:bookmarkStart w:id="173" w:name="_Toc20687"/>
      <w:bookmarkStart w:id="174" w:name="_Toc152045554"/>
      <w:bookmarkStart w:id="175" w:name="_Toc144974522"/>
      <w:bookmarkStart w:id="176" w:name="_Toc179632572"/>
      <w:bookmarkStart w:id="177" w:name="_Toc152042330"/>
    </w:p>
    <w:p>
      <w:pPr>
        <w:widowControl/>
        <w:spacing w:line="440" w:lineRule="exact"/>
        <w:rPr>
          <w:rFonts w:hint="eastAsia" w:ascii="宋体"/>
          <w:b/>
          <w:bCs/>
          <w:color w:val="auto"/>
          <w:szCs w:val="21"/>
          <w:highlight w:val="none"/>
        </w:rPr>
      </w:pPr>
      <w:r>
        <w:rPr>
          <w:rFonts w:hint="eastAsia" w:ascii="宋体"/>
          <w:b/>
          <w:bCs/>
          <w:color w:val="auto"/>
          <w:szCs w:val="21"/>
          <w:highlight w:val="none"/>
        </w:rPr>
        <w:t>3.7 投标文件的编制</w:t>
      </w:r>
      <w:bookmarkEnd w:id="173"/>
      <w:bookmarkEnd w:id="174"/>
      <w:bookmarkEnd w:id="175"/>
      <w:bookmarkEnd w:id="176"/>
      <w:bookmarkEnd w:id="177"/>
      <w:bookmarkStart w:id="178" w:name="_Toc13975"/>
    </w:p>
    <w:p>
      <w:pPr>
        <w:widowControl/>
        <w:spacing w:line="440" w:lineRule="exact"/>
        <w:ind w:firstLine="420"/>
        <w:rPr>
          <w:rFonts w:hint="eastAsia" w:ascii="宋体"/>
          <w:color w:val="auto"/>
          <w:szCs w:val="21"/>
          <w:highlight w:val="none"/>
        </w:rPr>
      </w:pPr>
      <w:r>
        <w:rPr>
          <w:rFonts w:hint="eastAsia" w:ascii="宋体"/>
          <w:color w:val="auto"/>
          <w:szCs w:val="21"/>
          <w:highlight w:val="none"/>
        </w:rPr>
        <w:t>3.7.1投标文件应按第八章“投标文件格式”进行编写，如有必要，可以增加附页，作为投标文件的组成部分。其中，投标函附录在满足招标文件实质性要求的基础上，可以提出比招标文件要求更有利于招标人的承诺。</w:t>
      </w:r>
      <w:bookmarkEnd w:id="178"/>
      <w:bookmarkStart w:id="179" w:name="_Toc22103"/>
    </w:p>
    <w:p>
      <w:pPr>
        <w:widowControl/>
        <w:spacing w:line="440" w:lineRule="exact"/>
        <w:ind w:firstLine="420"/>
        <w:rPr>
          <w:rFonts w:hint="eastAsia" w:ascii="宋体"/>
          <w:color w:val="auto"/>
          <w:szCs w:val="21"/>
          <w:highlight w:val="none"/>
        </w:rPr>
      </w:pPr>
      <w:r>
        <w:rPr>
          <w:rFonts w:hint="eastAsia" w:ascii="宋体"/>
          <w:color w:val="auto"/>
          <w:szCs w:val="21"/>
          <w:highlight w:val="none"/>
        </w:rPr>
        <w:t>3.7.2 投标文件应当对招标文件有关</w:t>
      </w:r>
      <w:r>
        <w:rPr>
          <w:rFonts w:hint="eastAsia" w:ascii="宋体"/>
          <w:color w:val="auto"/>
          <w:szCs w:val="21"/>
          <w:highlight w:val="none"/>
          <w:lang w:eastAsia="zh-CN"/>
        </w:rPr>
        <w:t>施工</w:t>
      </w:r>
      <w:r>
        <w:rPr>
          <w:rFonts w:hint="eastAsia" w:ascii="宋体"/>
          <w:color w:val="auto"/>
          <w:szCs w:val="21"/>
          <w:highlight w:val="none"/>
        </w:rPr>
        <w:t>工期、质量要求等实质性内容作出响应。</w:t>
      </w:r>
      <w:bookmarkEnd w:id="179"/>
      <w:bookmarkStart w:id="180" w:name="_Toc5501"/>
    </w:p>
    <w:p>
      <w:pPr>
        <w:widowControl/>
        <w:spacing w:line="440" w:lineRule="exact"/>
        <w:ind w:firstLine="420"/>
        <w:rPr>
          <w:rFonts w:hint="eastAsia" w:ascii="宋体"/>
          <w:color w:val="auto"/>
          <w:szCs w:val="21"/>
          <w:highlight w:val="none"/>
        </w:rPr>
      </w:pPr>
      <w:r>
        <w:rPr>
          <w:rFonts w:hint="eastAsia" w:ascii="宋体"/>
          <w:color w:val="auto"/>
          <w:szCs w:val="21"/>
          <w:highlight w:val="none"/>
        </w:rPr>
        <w:t>3.7.3投标文件签字或盖章的具体要求见投标人须知前附表。</w:t>
      </w:r>
      <w:bookmarkEnd w:id="180"/>
      <w:r>
        <w:rPr>
          <w:rFonts w:hint="eastAsia" w:ascii="宋体"/>
          <w:color w:val="auto"/>
          <w:szCs w:val="21"/>
          <w:highlight w:val="none"/>
        </w:rPr>
        <w:t xml:space="preserve"> </w:t>
      </w:r>
      <w:bookmarkStart w:id="181" w:name="_Toc1993"/>
      <w:r>
        <w:rPr>
          <w:rFonts w:hint="eastAsia" w:ascii="宋体"/>
          <w:color w:val="auto"/>
          <w:szCs w:val="21"/>
          <w:highlight w:val="none"/>
        </w:rPr>
        <w:t xml:space="preserve"> </w:t>
      </w:r>
    </w:p>
    <w:p>
      <w:pPr>
        <w:widowControl/>
        <w:spacing w:line="440" w:lineRule="exact"/>
        <w:ind w:firstLine="420"/>
        <w:rPr>
          <w:rFonts w:hint="eastAsia" w:ascii="宋体"/>
          <w:color w:val="auto"/>
          <w:szCs w:val="21"/>
          <w:highlight w:val="none"/>
        </w:rPr>
      </w:pPr>
      <w:r>
        <w:rPr>
          <w:rFonts w:hint="eastAsia" w:ascii="宋体"/>
          <w:color w:val="auto"/>
          <w:szCs w:val="21"/>
          <w:highlight w:val="none"/>
        </w:rPr>
        <w:t>3.7.4 投标文件份数见投标人须知前附表。</w:t>
      </w:r>
      <w:bookmarkEnd w:id="181"/>
      <w:bookmarkStart w:id="182" w:name="_Toc16602"/>
    </w:p>
    <w:bookmarkEnd w:id="182"/>
    <w:p>
      <w:pPr>
        <w:widowControl/>
        <w:numPr>
          <w:ilvl w:val="0"/>
          <w:numId w:val="0"/>
        </w:numPr>
        <w:tabs>
          <w:tab w:val="left" w:pos="0"/>
        </w:tabs>
        <w:spacing w:line="440" w:lineRule="exact"/>
        <w:jc w:val="left"/>
        <w:rPr>
          <w:rFonts w:hint="eastAsia" w:ascii="宋体"/>
          <w:b/>
          <w:bCs/>
          <w:color w:val="auto"/>
          <w:sz w:val="24"/>
          <w:szCs w:val="24"/>
          <w:highlight w:val="none"/>
        </w:rPr>
      </w:pPr>
      <w:bookmarkStart w:id="183" w:name="_Toc18487"/>
      <w:bookmarkStart w:id="184" w:name="_Toc179632573"/>
      <w:bookmarkStart w:id="185" w:name="_Toc144974523"/>
      <w:bookmarkStart w:id="186" w:name="_Toc152045555"/>
      <w:bookmarkStart w:id="187" w:name="_Toc152042331"/>
      <w:r>
        <w:rPr>
          <w:rFonts w:hint="eastAsia" w:ascii="宋体"/>
          <w:b/>
          <w:bCs/>
          <w:color w:val="auto"/>
          <w:sz w:val="24"/>
          <w:szCs w:val="24"/>
          <w:highlight w:val="none"/>
          <w:lang w:val="en-US" w:eastAsia="zh-CN"/>
        </w:rPr>
        <w:t>4.</w:t>
      </w:r>
      <w:r>
        <w:rPr>
          <w:rFonts w:hint="eastAsia" w:ascii="宋体"/>
          <w:b/>
          <w:bCs/>
          <w:color w:val="auto"/>
          <w:sz w:val="24"/>
          <w:szCs w:val="24"/>
          <w:highlight w:val="none"/>
        </w:rPr>
        <w:t>投标</w:t>
      </w:r>
      <w:bookmarkEnd w:id="183"/>
      <w:bookmarkEnd w:id="184"/>
      <w:bookmarkEnd w:id="185"/>
      <w:bookmarkEnd w:id="186"/>
      <w:bookmarkEnd w:id="187"/>
      <w:bookmarkStart w:id="188" w:name="_Toc179632574"/>
      <w:bookmarkStart w:id="189" w:name="_Toc152045556"/>
      <w:bookmarkStart w:id="190" w:name="_Toc152042332"/>
      <w:bookmarkStart w:id="191" w:name="_Toc13093"/>
      <w:bookmarkStart w:id="192" w:name="_Toc144974524"/>
    </w:p>
    <w:bookmarkEnd w:id="167"/>
    <w:bookmarkEnd w:id="168"/>
    <w:bookmarkEnd w:id="169"/>
    <w:bookmarkEnd w:id="170"/>
    <w:bookmarkEnd w:id="188"/>
    <w:bookmarkEnd w:id="189"/>
    <w:bookmarkEnd w:id="190"/>
    <w:bookmarkEnd w:id="191"/>
    <w:bookmarkEnd w:id="192"/>
    <w:p>
      <w:pPr>
        <w:widowControl/>
        <w:spacing w:line="440" w:lineRule="exact"/>
        <w:rPr>
          <w:rFonts w:hint="eastAsia" w:ascii="宋体"/>
          <w:b/>
          <w:bCs/>
          <w:color w:val="auto"/>
          <w:szCs w:val="21"/>
          <w:highlight w:val="none"/>
        </w:rPr>
      </w:pPr>
      <w:bookmarkStart w:id="193" w:name="_Toc152045557"/>
      <w:bookmarkStart w:id="194" w:name="_Toc144974525"/>
      <w:bookmarkStart w:id="195" w:name="_Toc152042333"/>
      <w:bookmarkStart w:id="196" w:name="_Toc22501"/>
      <w:bookmarkStart w:id="197" w:name="_Toc179632575"/>
      <w:r>
        <w:rPr>
          <w:rFonts w:hint="eastAsia" w:ascii="宋体"/>
          <w:b/>
          <w:bCs/>
          <w:color w:val="auto"/>
          <w:szCs w:val="21"/>
          <w:highlight w:val="none"/>
        </w:rPr>
        <w:t>4.</w:t>
      </w:r>
      <w:r>
        <w:rPr>
          <w:rFonts w:hint="eastAsia" w:ascii="宋体"/>
          <w:b/>
          <w:bCs/>
          <w:color w:val="auto"/>
          <w:szCs w:val="21"/>
          <w:highlight w:val="none"/>
          <w:lang w:val="en-US" w:eastAsia="zh-CN"/>
        </w:rPr>
        <w:t>1</w:t>
      </w:r>
      <w:r>
        <w:rPr>
          <w:rFonts w:hint="eastAsia" w:ascii="宋体"/>
          <w:b/>
          <w:bCs/>
          <w:color w:val="auto"/>
          <w:szCs w:val="21"/>
          <w:highlight w:val="none"/>
        </w:rPr>
        <w:t xml:space="preserve"> 投标文件的递交</w:t>
      </w:r>
      <w:bookmarkEnd w:id="193"/>
      <w:bookmarkEnd w:id="194"/>
      <w:bookmarkEnd w:id="195"/>
      <w:bookmarkEnd w:id="196"/>
      <w:bookmarkEnd w:id="197"/>
      <w:bookmarkStart w:id="198" w:name="_Toc16328"/>
    </w:p>
    <w:p>
      <w:pPr>
        <w:widowControl/>
        <w:spacing w:line="440" w:lineRule="exact"/>
        <w:ind w:left="420" w:leftChars="200"/>
        <w:rPr>
          <w:rFonts w:hint="eastAsia" w:ascii="宋体"/>
          <w:color w:val="auto"/>
          <w:szCs w:val="21"/>
          <w:highlight w:val="none"/>
        </w:rPr>
      </w:pPr>
      <w:r>
        <w:rPr>
          <w:rFonts w:hint="eastAsia" w:ascii="宋体"/>
          <w:color w:val="auto"/>
          <w:szCs w:val="21"/>
          <w:highlight w:val="none"/>
        </w:rPr>
        <w:t>4.</w:t>
      </w:r>
      <w:r>
        <w:rPr>
          <w:rFonts w:hint="eastAsia" w:ascii="宋体"/>
          <w:color w:val="auto"/>
          <w:szCs w:val="21"/>
          <w:highlight w:val="none"/>
          <w:lang w:val="en-US" w:eastAsia="zh-CN"/>
        </w:rPr>
        <w:t>1</w:t>
      </w:r>
      <w:r>
        <w:rPr>
          <w:rFonts w:hint="eastAsia" w:ascii="宋体"/>
          <w:color w:val="auto"/>
          <w:szCs w:val="21"/>
          <w:highlight w:val="none"/>
        </w:rPr>
        <w:t>.1 投标人应在投标人须知前附表第2.2.</w:t>
      </w:r>
      <w:r>
        <w:rPr>
          <w:rFonts w:hint="eastAsia" w:ascii="宋体"/>
          <w:color w:val="auto"/>
          <w:szCs w:val="21"/>
          <w:highlight w:val="none"/>
          <w:lang w:val="en-US" w:eastAsia="zh-CN"/>
        </w:rPr>
        <w:t>2</w:t>
      </w:r>
      <w:r>
        <w:rPr>
          <w:rFonts w:hint="eastAsia" w:ascii="宋体"/>
          <w:color w:val="auto"/>
          <w:szCs w:val="21"/>
          <w:highlight w:val="none"/>
        </w:rPr>
        <w:t>项规定的投标截止时间前递交投标文件。</w:t>
      </w:r>
      <w:bookmarkEnd w:id="198"/>
      <w:bookmarkStart w:id="199" w:name="_Toc32187"/>
    </w:p>
    <w:p>
      <w:pPr>
        <w:widowControl/>
        <w:spacing w:line="440" w:lineRule="exact"/>
        <w:ind w:left="420" w:leftChars="200"/>
        <w:rPr>
          <w:rFonts w:hint="eastAsia" w:ascii="宋体"/>
          <w:color w:val="auto"/>
          <w:szCs w:val="21"/>
          <w:highlight w:val="none"/>
        </w:rPr>
      </w:pPr>
      <w:r>
        <w:rPr>
          <w:rFonts w:hint="eastAsia" w:ascii="宋体"/>
          <w:color w:val="auto"/>
          <w:szCs w:val="21"/>
          <w:highlight w:val="none"/>
        </w:rPr>
        <w:t>4.</w:t>
      </w:r>
      <w:r>
        <w:rPr>
          <w:rFonts w:hint="eastAsia" w:ascii="宋体"/>
          <w:color w:val="auto"/>
          <w:szCs w:val="21"/>
          <w:highlight w:val="none"/>
          <w:lang w:val="en-US" w:eastAsia="zh-CN"/>
        </w:rPr>
        <w:t>1</w:t>
      </w:r>
      <w:r>
        <w:rPr>
          <w:rFonts w:hint="eastAsia" w:ascii="宋体"/>
          <w:color w:val="auto"/>
          <w:szCs w:val="21"/>
          <w:highlight w:val="none"/>
        </w:rPr>
        <w:t>.2 投标人递交投标文件的地点：见投标人须知前附表。</w:t>
      </w:r>
      <w:bookmarkEnd w:id="199"/>
      <w:bookmarkStart w:id="200" w:name="_Toc15230"/>
    </w:p>
    <w:p>
      <w:pPr>
        <w:widowControl/>
        <w:spacing w:line="440" w:lineRule="exact"/>
        <w:ind w:left="420" w:leftChars="200"/>
        <w:rPr>
          <w:rFonts w:hint="eastAsia" w:ascii="宋体"/>
          <w:color w:val="auto"/>
          <w:szCs w:val="21"/>
          <w:highlight w:val="none"/>
        </w:rPr>
      </w:pPr>
      <w:r>
        <w:rPr>
          <w:rFonts w:hint="eastAsia" w:ascii="宋体"/>
          <w:color w:val="auto"/>
          <w:szCs w:val="21"/>
          <w:highlight w:val="none"/>
        </w:rPr>
        <w:t>4.</w:t>
      </w:r>
      <w:r>
        <w:rPr>
          <w:rFonts w:hint="eastAsia" w:ascii="宋体"/>
          <w:color w:val="auto"/>
          <w:szCs w:val="21"/>
          <w:highlight w:val="none"/>
          <w:lang w:val="en-US" w:eastAsia="zh-CN"/>
        </w:rPr>
        <w:t>1</w:t>
      </w:r>
      <w:r>
        <w:rPr>
          <w:rFonts w:hint="eastAsia" w:ascii="宋体"/>
          <w:color w:val="auto"/>
          <w:szCs w:val="21"/>
          <w:highlight w:val="none"/>
        </w:rPr>
        <w:t>.3 除投标人须知前附表另有规定外，投标人所递交的投标文件不予退还。</w:t>
      </w:r>
      <w:bookmarkEnd w:id="200"/>
      <w:bookmarkStart w:id="201" w:name="_Toc21003"/>
    </w:p>
    <w:p>
      <w:pPr>
        <w:widowControl/>
        <w:spacing w:line="440" w:lineRule="exact"/>
        <w:ind w:left="420" w:leftChars="200"/>
        <w:rPr>
          <w:rFonts w:hint="eastAsia" w:ascii="宋体"/>
          <w:color w:val="auto"/>
          <w:szCs w:val="21"/>
          <w:highlight w:val="none"/>
        </w:rPr>
      </w:pPr>
      <w:r>
        <w:rPr>
          <w:rFonts w:hint="eastAsia" w:ascii="宋体"/>
          <w:color w:val="auto"/>
          <w:szCs w:val="21"/>
          <w:highlight w:val="none"/>
        </w:rPr>
        <w:t>4.</w:t>
      </w:r>
      <w:r>
        <w:rPr>
          <w:rFonts w:hint="eastAsia" w:ascii="宋体"/>
          <w:color w:val="auto"/>
          <w:szCs w:val="21"/>
          <w:highlight w:val="none"/>
          <w:lang w:val="en-US" w:eastAsia="zh-CN"/>
        </w:rPr>
        <w:t>1</w:t>
      </w:r>
      <w:r>
        <w:rPr>
          <w:rFonts w:hint="eastAsia" w:ascii="宋体"/>
          <w:color w:val="auto"/>
          <w:szCs w:val="21"/>
          <w:highlight w:val="none"/>
        </w:rPr>
        <w:t xml:space="preserve">.4 </w:t>
      </w:r>
      <w:bookmarkEnd w:id="201"/>
      <w:bookmarkStart w:id="202" w:name="_Toc15058"/>
      <w:r>
        <w:rPr>
          <w:rFonts w:hint="eastAsia" w:ascii="宋体"/>
          <w:color w:val="auto"/>
          <w:szCs w:val="21"/>
          <w:highlight w:val="none"/>
        </w:rPr>
        <w:t>逾期送达的或者未送达指定地点的投标文件，招标人不予受理。</w:t>
      </w:r>
      <w:bookmarkEnd w:id="202"/>
      <w:bookmarkStart w:id="203" w:name="_Toc26469"/>
      <w:bookmarkStart w:id="204" w:name="_Toc152045558"/>
      <w:bookmarkStart w:id="205" w:name="_Toc144974526"/>
      <w:bookmarkStart w:id="206" w:name="_Toc152042334"/>
      <w:bookmarkStart w:id="207" w:name="_Toc179632576"/>
    </w:p>
    <w:p>
      <w:pPr>
        <w:widowControl/>
        <w:spacing w:line="440" w:lineRule="exact"/>
        <w:rPr>
          <w:rFonts w:hint="eastAsia" w:ascii="宋体"/>
          <w:b/>
          <w:bCs/>
          <w:color w:val="auto"/>
          <w:szCs w:val="21"/>
          <w:highlight w:val="none"/>
        </w:rPr>
      </w:pPr>
      <w:r>
        <w:rPr>
          <w:rFonts w:hint="eastAsia" w:ascii="宋体"/>
          <w:b/>
          <w:bCs/>
          <w:color w:val="auto"/>
          <w:szCs w:val="21"/>
          <w:highlight w:val="none"/>
        </w:rPr>
        <w:t>4.</w:t>
      </w:r>
      <w:r>
        <w:rPr>
          <w:rFonts w:hint="eastAsia" w:ascii="宋体"/>
          <w:b/>
          <w:bCs/>
          <w:color w:val="auto"/>
          <w:szCs w:val="21"/>
          <w:highlight w:val="none"/>
          <w:lang w:val="en-US" w:eastAsia="zh-CN"/>
        </w:rPr>
        <w:t>2</w:t>
      </w:r>
      <w:r>
        <w:rPr>
          <w:rFonts w:hint="eastAsia" w:ascii="宋体"/>
          <w:b/>
          <w:bCs/>
          <w:color w:val="auto"/>
          <w:szCs w:val="21"/>
          <w:highlight w:val="none"/>
        </w:rPr>
        <w:t xml:space="preserve"> 投标文件的修改与撤回</w:t>
      </w:r>
      <w:bookmarkEnd w:id="203"/>
      <w:bookmarkEnd w:id="204"/>
      <w:bookmarkEnd w:id="205"/>
      <w:bookmarkEnd w:id="206"/>
      <w:bookmarkEnd w:id="207"/>
      <w:bookmarkStart w:id="208" w:name="_Toc10340"/>
    </w:p>
    <w:p>
      <w:pPr>
        <w:widowControl/>
        <w:spacing w:line="440" w:lineRule="exact"/>
        <w:ind w:left="420" w:leftChars="200"/>
        <w:rPr>
          <w:rFonts w:hint="eastAsia" w:ascii="宋体"/>
          <w:color w:val="auto"/>
          <w:szCs w:val="21"/>
          <w:highlight w:val="none"/>
        </w:rPr>
      </w:pPr>
      <w:r>
        <w:rPr>
          <w:rFonts w:hint="eastAsia" w:ascii="宋体"/>
          <w:color w:val="auto"/>
          <w:szCs w:val="21"/>
          <w:highlight w:val="none"/>
        </w:rPr>
        <w:t>4.</w:t>
      </w:r>
      <w:r>
        <w:rPr>
          <w:rFonts w:hint="eastAsia" w:ascii="宋体"/>
          <w:color w:val="auto"/>
          <w:szCs w:val="21"/>
          <w:highlight w:val="none"/>
          <w:lang w:val="en-US" w:eastAsia="zh-CN"/>
        </w:rPr>
        <w:t>2</w:t>
      </w:r>
      <w:r>
        <w:rPr>
          <w:rFonts w:hint="eastAsia" w:ascii="宋体"/>
          <w:color w:val="auto"/>
          <w:szCs w:val="21"/>
          <w:highlight w:val="none"/>
        </w:rPr>
        <w:t>.1 在投标人须知前附表第2.2.</w:t>
      </w:r>
      <w:r>
        <w:rPr>
          <w:rFonts w:hint="eastAsia" w:ascii="宋体"/>
          <w:color w:val="auto"/>
          <w:szCs w:val="21"/>
          <w:highlight w:val="none"/>
          <w:lang w:val="en-US" w:eastAsia="zh-CN"/>
        </w:rPr>
        <w:t>2</w:t>
      </w:r>
      <w:r>
        <w:rPr>
          <w:rFonts w:hint="eastAsia" w:ascii="宋体"/>
          <w:color w:val="auto"/>
          <w:szCs w:val="21"/>
          <w:highlight w:val="none"/>
        </w:rPr>
        <w:t>项规定的投标截止时间前，投标人可以修改或撤回已递交的投标文件。</w:t>
      </w:r>
      <w:bookmarkEnd w:id="208"/>
      <w:bookmarkStart w:id="209" w:name="_Toc24305"/>
    </w:p>
    <w:bookmarkEnd w:id="209"/>
    <w:p>
      <w:pPr>
        <w:widowControl/>
        <w:spacing w:line="440" w:lineRule="exact"/>
        <w:ind w:left="420" w:leftChars="200"/>
        <w:rPr>
          <w:rFonts w:hint="eastAsia" w:ascii="宋体"/>
          <w:color w:val="auto"/>
          <w:szCs w:val="21"/>
          <w:highlight w:val="none"/>
        </w:rPr>
      </w:pPr>
      <w:bookmarkStart w:id="210" w:name="_Toc9630"/>
      <w:r>
        <w:rPr>
          <w:rFonts w:hint="eastAsia" w:ascii="宋体"/>
          <w:color w:val="auto"/>
          <w:szCs w:val="21"/>
          <w:highlight w:val="none"/>
        </w:rPr>
        <w:t>4.</w:t>
      </w:r>
      <w:r>
        <w:rPr>
          <w:rFonts w:hint="eastAsia" w:ascii="宋体"/>
          <w:color w:val="auto"/>
          <w:szCs w:val="21"/>
          <w:highlight w:val="none"/>
          <w:lang w:val="en-US" w:eastAsia="zh-CN"/>
        </w:rPr>
        <w:t>2</w:t>
      </w:r>
      <w:r>
        <w:rPr>
          <w:rFonts w:hint="eastAsia" w:ascii="宋体"/>
          <w:color w:val="auto"/>
          <w:szCs w:val="21"/>
          <w:highlight w:val="none"/>
        </w:rPr>
        <w:t>.</w:t>
      </w:r>
      <w:r>
        <w:rPr>
          <w:rFonts w:hint="eastAsia" w:ascii="宋体"/>
          <w:color w:val="auto"/>
          <w:szCs w:val="21"/>
          <w:highlight w:val="none"/>
          <w:lang w:val="en-US" w:eastAsia="zh-CN"/>
        </w:rPr>
        <w:t>2</w:t>
      </w:r>
      <w:r>
        <w:rPr>
          <w:rFonts w:hint="eastAsia" w:ascii="宋体"/>
          <w:color w:val="auto"/>
          <w:szCs w:val="21"/>
          <w:highlight w:val="none"/>
        </w:rPr>
        <w:t xml:space="preserve"> 修改的内容为投标文件的组成部分。修改的投标文件应按照本章第3条、第4条规定进行编制和递交。</w:t>
      </w:r>
      <w:bookmarkEnd w:id="210"/>
      <w:bookmarkStart w:id="211" w:name="_Toc152045559"/>
      <w:bookmarkStart w:id="212" w:name="_Toc152042335"/>
      <w:bookmarkStart w:id="213" w:name="_Toc144974527"/>
      <w:bookmarkStart w:id="214" w:name="_Toc179632577"/>
      <w:bookmarkStart w:id="215" w:name="_Toc19914"/>
    </w:p>
    <w:p>
      <w:pPr>
        <w:widowControl/>
        <w:numPr>
          <w:ilvl w:val="0"/>
          <w:numId w:val="0"/>
        </w:numPr>
        <w:tabs>
          <w:tab w:val="left" w:pos="0"/>
        </w:tabs>
        <w:spacing w:line="440" w:lineRule="exact"/>
        <w:ind w:leftChars="0"/>
        <w:rPr>
          <w:rFonts w:hint="default" w:ascii="宋体"/>
          <w:b/>
          <w:bCs/>
          <w:color w:val="auto"/>
          <w:sz w:val="24"/>
          <w:szCs w:val="24"/>
          <w:highlight w:val="none"/>
          <w:lang w:val="en-US" w:eastAsia="zh-CN"/>
        </w:rPr>
      </w:pPr>
      <w:r>
        <w:rPr>
          <w:rFonts w:hint="eastAsia" w:ascii="宋体"/>
          <w:b/>
          <w:bCs/>
          <w:color w:val="auto"/>
          <w:sz w:val="24"/>
          <w:szCs w:val="24"/>
          <w:highlight w:val="none"/>
          <w:lang w:val="en-US" w:eastAsia="zh-CN"/>
        </w:rPr>
        <w:t>5.开标</w:t>
      </w:r>
    </w:p>
    <w:p>
      <w:pPr>
        <w:widowControl/>
        <w:numPr>
          <w:ilvl w:val="0"/>
          <w:numId w:val="0"/>
        </w:numPr>
        <w:tabs>
          <w:tab w:val="left" w:pos="0"/>
        </w:tabs>
        <w:spacing w:line="440" w:lineRule="exact"/>
        <w:ind w:leftChars="0"/>
        <w:rPr>
          <w:rFonts w:hint="eastAsia" w:ascii="宋体"/>
          <w:b/>
          <w:bCs/>
          <w:color w:val="auto"/>
          <w:sz w:val="24"/>
          <w:szCs w:val="24"/>
          <w:highlight w:val="none"/>
        </w:rPr>
      </w:pPr>
      <w:r>
        <w:rPr>
          <w:rFonts w:hint="eastAsia" w:ascii="宋体"/>
          <w:b/>
          <w:bCs/>
          <w:color w:val="auto"/>
          <w:sz w:val="24"/>
          <w:szCs w:val="24"/>
          <w:highlight w:val="none"/>
          <w:lang w:val="en-US" w:eastAsia="zh-CN"/>
        </w:rPr>
        <w:t>5.1</w:t>
      </w:r>
      <w:r>
        <w:rPr>
          <w:rFonts w:hint="eastAsia" w:ascii="宋体"/>
          <w:b/>
          <w:bCs/>
          <w:color w:val="auto"/>
          <w:sz w:val="24"/>
          <w:szCs w:val="24"/>
          <w:highlight w:val="none"/>
        </w:rPr>
        <w:t>开标</w:t>
      </w:r>
      <w:bookmarkEnd w:id="211"/>
      <w:bookmarkEnd w:id="212"/>
      <w:bookmarkEnd w:id="213"/>
      <w:bookmarkEnd w:id="214"/>
      <w:bookmarkEnd w:id="215"/>
      <w:bookmarkStart w:id="216" w:name="_Toc152042336"/>
      <w:bookmarkStart w:id="217" w:name="_Toc28451"/>
      <w:bookmarkStart w:id="218" w:name="_Toc144974528"/>
      <w:bookmarkStart w:id="219" w:name="_Toc179632578"/>
      <w:bookmarkStart w:id="220" w:name="_Toc152045560"/>
      <w:r>
        <w:rPr>
          <w:rFonts w:hint="eastAsia" w:ascii="宋体"/>
          <w:b/>
          <w:bCs/>
          <w:color w:val="auto"/>
          <w:sz w:val="24"/>
          <w:szCs w:val="24"/>
          <w:highlight w:val="none"/>
          <w:lang w:eastAsia="zh-CN"/>
        </w:rPr>
        <w:t>时间和地点</w:t>
      </w:r>
    </w:p>
    <w:bookmarkEnd w:id="216"/>
    <w:bookmarkEnd w:id="217"/>
    <w:bookmarkEnd w:id="218"/>
    <w:bookmarkEnd w:id="219"/>
    <w:bookmarkEnd w:id="220"/>
    <w:p>
      <w:pPr>
        <w:keepNext w:val="0"/>
        <w:keepLines w:val="0"/>
        <w:pageBreakBefore w:val="0"/>
        <w:widowControl w:val="0"/>
        <w:kinsoku/>
        <w:overflowPunct/>
        <w:topLinePunct w:val="0"/>
        <w:autoSpaceDE/>
        <w:autoSpaceDN/>
        <w:bidi w:val="0"/>
        <w:adjustRightInd/>
        <w:snapToGrid/>
        <w:spacing w:line="400" w:lineRule="exact"/>
        <w:ind w:firstLine="420" w:firstLineChars="200"/>
        <w:textAlignment w:val="auto"/>
        <w:rPr>
          <w:rFonts w:hint="eastAsia"/>
          <w:b/>
          <w:bCs/>
          <w:color w:val="auto"/>
          <w:highlight w:val="none"/>
        </w:rPr>
      </w:pPr>
      <w:bookmarkStart w:id="221" w:name="_Toc21039"/>
      <w:r>
        <w:rPr>
          <w:rFonts w:hint="eastAsia" w:ascii="宋体"/>
          <w:color w:val="auto"/>
          <w:szCs w:val="21"/>
          <w:highlight w:val="none"/>
        </w:rPr>
        <w:t>招标人在投标人须知前附表第2.2.</w:t>
      </w:r>
      <w:r>
        <w:rPr>
          <w:rFonts w:hint="eastAsia" w:ascii="宋体"/>
          <w:color w:val="auto"/>
          <w:szCs w:val="21"/>
          <w:highlight w:val="none"/>
          <w:lang w:val="en-US" w:eastAsia="zh-CN"/>
        </w:rPr>
        <w:t>2</w:t>
      </w:r>
      <w:r>
        <w:rPr>
          <w:rFonts w:hint="eastAsia" w:ascii="宋体"/>
          <w:color w:val="auto"/>
          <w:szCs w:val="21"/>
          <w:highlight w:val="none"/>
        </w:rPr>
        <w:t>项规定的投标截止时间（开标时间）和投标人须知前附表规定的地点公开开标</w:t>
      </w:r>
      <w:bookmarkEnd w:id="221"/>
      <w:r>
        <w:rPr>
          <w:rFonts w:hint="eastAsia" w:ascii="宋体"/>
          <w:color w:val="auto"/>
          <w:szCs w:val="21"/>
          <w:highlight w:val="none"/>
        </w:rPr>
        <w:t>。</w:t>
      </w:r>
      <w:bookmarkStart w:id="222" w:name="_Toc152045562"/>
      <w:bookmarkStart w:id="223" w:name="_Toc152042338"/>
      <w:bookmarkStart w:id="224" w:name="_Toc144974530"/>
      <w:bookmarkStart w:id="225" w:name="_Toc179632580"/>
      <w:bookmarkStart w:id="226" w:name="_Toc16849"/>
      <w:r>
        <w:rPr>
          <w:rFonts w:hint="eastAsia"/>
          <w:b/>
          <w:bCs/>
          <w:color w:val="auto"/>
          <w:highlight w:val="none"/>
        </w:rPr>
        <w:t>平顶山市公共资源交易中心全面实行在线“不见面”开标，投标人远程在线解密投标文件，不再到开标现场，投标人开标前应仔细阅读招标文件中《“不见面”开标注意事项及操作流程》。</w:t>
      </w:r>
    </w:p>
    <w:p>
      <w:pPr>
        <w:widowControl/>
        <w:spacing w:line="440" w:lineRule="exact"/>
        <w:rPr>
          <w:rFonts w:hint="eastAsia" w:ascii="宋体"/>
          <w:b/>
          <w:bCs/>
          <w:color w:val="auto"/>
          <w:sz w:val="24"/>
          <w:szCs w:val="24"/>
          <w:highlight w:val="none"/>
        </w:rPr>
      </w:pPr>
    </w:p>
    <w:p>
      <w:pPr>
        <w:widowControl/>
        <w:spacing w:line="440" w:lineRule="exact"/>
        <w:rPr>
          <w:rFonts w:hint="eastAsia" w:ascii="宋体"/>
          <w:b/>
          <w:bCs/>
          <w:color w:val="auto"/>
          <w:sz w:val="24"/>
          <w:szCs w:val="24"/>
          <w:highlight w:val="none"/>
        </w:rPr>
      </w:pPr>
      <w:r>
        <w:rPr>
          <w:rFonts w:hint="eastAsia" w:ascii="宋体"/>
          <w:b/>
          <w:bCs/>
          <w:color w:val="auto"/>
          <w:sz w:val="24"/>
          <w:szCs w:val="24"/>
          <w:highlight w:val="none"/>
        </w:rPr>
        <w:t>6.评标</w:t>
      </w:r>
      <w:bookmarkEnd w:id="222"/>
      <w:bookmarkEnd w:id="223"/>
      <w:bookmarkEnd w:id="224"/>
      <w:bookmarkEnd w:id="225"/>
      <w:bookmarkEnd w:id="226"/>
      <w:bookmarkStart w:id="227" w:name="_Toc144974531"/>
      <w:bookmarkStart w:id="228" w:name="_Toc28737"/>
      <w:bookmarkStart w:id="229" w:name="_Toc179632581"/>
      <w:bookmarkStart w:id="230" w:name="_Toc152042339"/>
      <w:bookmarkStart w:id="231" w:name="_Toc152045563"/>
    </w:p>
    <w:p>
      <w:pPr>
        <w:widowControl/>
        <w:spacing w:line="440" w:lineRule="exact"/>
        <w:rPr>
          <w:rFonts w:hint="eastAsia" w:ascii="宋体"/>
          <w:b/>
          <w:bCs/>
          <w:color w:val="auto"/>
          <w:szCs w:val="21"/>
          <w:highlight w:val="none"/>
        </w:rPr>
      </w:pPr>
      <w:r>
        <w:rPr>
          <w:rFonts w:hint="eastAsia" w:ascii="宋体"/>
          <w:b/>
          <w:bCs/>
          <w:color w:val="auto"/>
          <w:szCs w:val="21"/>
          <w:highlight w:val="none"/>
        </w:rPr>
        <w:t>6.1 评标委员会</w:t>
      </w:r>
      <w:bookmarkEnd w:id="227"/>
      <w:bookmarkEnd w:id="228"/>
      <w:bookmarkEnd w:id="229"/>
      <w:bookmarkEnd w:id="230"/>
      <w:bookmarkEnd w:id="231"/>
      <w:bookmarkStart w:id="232" w:name="_Toc10525"/>
    </w:p>
    <w:p>
      <w:pPr>
        <w:widowControl/>
        <w:spacing w:line="440" w:lineRule="exact"/>
        <w:ind w:left="420" w:leftChars="200" w:firstLine="210" w:firstLineChars="100"/>
        <w:rPr>
          <w:rFonts w:hint="eastAsia" w:ascii="宋体"/>
          <w:color w:val="auto"/>
          <w:szCs w:val="21"/>
          <w:highlight w:val="none"/>
        </w:rPr>
      </w:pPr>
      <w:r>
        <w:rPr>
          <w:rFonts w:hint="eastAsia" w:ascii="宋体"/>
          <w:color w:val="auto"/>
          <w:szCs w:val="21"/>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bookmarkEnd w:id="232"/>
      <w:bookmarkStart w:id="233" w:name="_Toc27765"/>
    </w:p>
    <w:p>
      <w:pPr>
        <w:widowControl/>
        <w:spacing w:line="440" w:lineRule="exact"/>
        <w:ind w:left="420" w:leftChars="200" w:firstLine="210" w:firstLineChars="100"/>
        <w:rPr>
          <w:rFonts w:hint="eastAsia" w:ascii="宋体"/>
          <w:color w:val="auto"/>
          <w:szCs w:val="21"/>
          <w:highlight w:val="none"/>
        </w:rPr>
      </w:pPr>
      <w:r>
        <w:rPr>
          <w:rFonts w:hint="eastAsia" w:ascii="宋体"/>
          <w:color w:val="auto"/>
          <w:szCs w:val="21"/>
          <w:highlight w:val="none"/>
        </w:rPr>
        <w:t>6.1.2 评标委员会成员有下列情形之一的，应当回避：</w:t>
      </w:r>
      <w:bookmarkEnd w:id="233"/>
      <w:bookmarkStart w:id="234" w:name="_Toc26966"/>
    </w:p>
    <w:p>
      <w:pPr>
        <w:widowControl/>
        <w:spacing w:line="440" w:lineRule="exact"/>
        <w:ind w:left="420" w:leftChars="200" w:firstLine="210" w:firstLineChars="100"/>
        <w:rPr>
          <w:rFonts w:hint="eastAsia" w:ascii="宋体"/>
          <w:color w:val="auto"/>
          <w:szCs w:val="21"/>
          <w:highlight w:val="none"/>
        </w:rPr>
      </w:pPr>
      <w:r>
        <w:rPr>
          <w:rFonts w:hint="eastAsia" w:ascii="宋体"/>
          <w:color w:val="auto"/>
          <w:szCs w:val="21"/>
          <w:highlight w:val="none"/>
        </w:rPr>
        <w:t>（1）招标人或投标人的主要负责人的近亲属；</w:t>
      </w:r>
      <w:bookmarkEnd w:id="234"/>
      <w:bookmarkStart w:id="235" w:name="_Toc11237"/>
    </w:p>
    <w:p>
      <w:pPr>
        <w:widowControl/>
        <w:spacing w:line="440" w:lineRule="exact"/>
        <w:ind w:left="420" w:leftChars="200" w:firstLine="210" w:firstLineChars="100"/>
        <w:rPr>
          <w:rFonts w:hint="eastAsia" w:ascii="宋体"/>
          <w:color w:val="auto"/>
          <w:szCs w:val="21"/>
          <w:highlight w:val="none"/>
        </w:rPr>
      </w:pPr>
      <w:r>
        <w:rPr>
          <w:rFonts w:hint="eastAsia" w:ascii="宋体"/>
          <w:color w:val="auto"/>
          <w:szCs w:val="21"/>
          <w:highlight w:val="none"/>
        </w:rPr>
        <w:t>（2）项目主管部门或者行政监督部门的人员；</w:t>
      </w:r>
      <w:bookmarkEnd w:id="235"/>
      <w:bookmarkStart w:id="236" w:name="_Toc20183"/>
    </w:p>
    <w:p>
      <w:pPr>
        <w:widowControl/>
        <w:spacing w:line="440" w:lineRule="exact"/>
        <w:ind w:left="420" w:leftChars="200" w:firstLine="210" w:firstLineChars="100"/>
        <w:rPr>
          <w:rFonts w:hint="eastAsia" w:ascii="宋体"/>
          <w:color w:val="auto"/>
          <w:szCs w:val="21"/>
          <w:highlight w:val="none"/>
        </w:rPr>
      </w:pPr>
      <w:r>
        <w:rPr>
          <w:rFonts w:hint="eastAsia" w:ascii="宋体"/>
          <w:color w:val="auto"/>
          <w:szCs w:val="21"/>
          <w:highlight w:val="none"/>
        </w:rPr>
        <w:t>（3）与投标人有经济利益关系，可能影响对投标公正评审的；</w:t>
      </w:r>
      <w:bookmarkEnd w:id="236"/>
      <w:bookmarkStart w:id="237" w:name="_Toc9104"/>
    </w:p>
    <w:p>
      <w:pPr>
        <w:widowControl/>
        <w:spacing w:line="440" w:lineRule="exact"/>
        <w:ind w:left="420" w:leftChars="200" w:firstLine="210" w:firstLineChars="100"/>
        <w:rPr>
          <w:rFonts w:hint="eastAsia" w:ascii="宋体"/>
          <w:color w:val="auto"/>
          <w:szCs w:val="21"/>
          <w:highlight w:val="none"/>
        </w:rPr>
      </w:pPr>
      <w:r>
        <w:rPr>
          <w:rFonts w:hint="eastAsia" w:ascii="宋体"/>
          <w:color w:val="auto"/>
          <w:szCs w:val="21"/>
          <w:highlight w:val="none"/>
        </w:rPr>
        <w:t>（4）曾因在招标、评标以及其他与招标投标有关活动中从事违法行为而受过行政处罚或刑事处罚的。</w:t>
      </w:r>
      <w:bookmarkEnd w:id="237"/>
      <w:bookmarkStart w:id="238" w:name="_Toc144974532"/>
      <w:bookmarkStart w:id="239" w:name="_Toc13419"/>
      <w:bookmarkStart w:id="240" w:name="_Toc152042340"/>
      <w:bookmarkStart w:id="241" w:name="_Toc179632582"/>
      <w:bookmarkStart w:id="242" w:name="_Toc152045564"/>
    </w:p>
    <w:p>
      <w:pPr>
        <w:widowControl/>
        <w:spacing w:line="440" w:lineRule="exact"/>
        <w:rPr>
          <w:rFonts w:hint="eastAsia" w:ascii="宋体"/>
          <w:color w:val="auto"/>
          <w:szCs w:val="21"/>
          <w:highlight w:val="none"/>
        </w:rPr>
      </w:pPr>
      <w:r>
        <w:rPr>
          <w:rFonts w:hint="eastAsia" w:ascii="宋体"/>
          <w:b/>
          <w:bCs/>
          <w:color w:val="auto"/>
          <w:szCs w:val="21"/>
          <w:highlight w:val="none"/>
        </w:rPr>
        <w:t>6.2 评标原则</w:t>
      </w:r>
      <w:bookmarkEnd w:id="238"/>
      <w:bookmarkEnd w:id="239"/>
      <w:bookmarkEnd w:id="240"/>
      <w:bookmarkEnd w:id="241"/>
      <w:bookmarkEnd w:id="242"/>
      <w:r>
        <w:rPr>
          <w:rFonts w:hint="eastAsia" w:ascii="宋体"/>
          <w:color w:val="auto"/>
          <w:szCs w:val="21"/>
          <w:highlight w:val="none"/>
        </w:rPr>
        <w:tab/>
      </w:r>
      <w:bookmarkStart w:id="243" w:name="_Toc15800"/>
    </w:p>
    <w:p>
      <w:pPr>
        <w:widowControl/>
        <w:spacing w:line="440" w:lineRule="exact"/>
        <w:ind w:left="420" w:leftChars="200" w:firstLine="210" w:firstLineChars="100"/>
        <w:rPr>
          <w:rFonts w:hint="eastAsia" w:ascii="宋体"/>
          <w:color w:val="auto"/>
          <w:szCs w:val="21"/>
          <w:highlight w:val="none"/>
        </w:rPr>
      </w:pPr>
      <w:r>
        <w:rPr>
          <w:rFonts w:hint="eastAsia" w:ascii="宋体"/>
          <w:color w:val="auto"/>
          <w:szCs w:val="21"/>
          <w:highlight w:val="none"/>
        </w:rPr>
        <w:t>评标活动遵循公平、公正、科学和择优的原则。</w:t>
      </w:r>
      <w:bookmarkEnd w:id="243"/>
      <w:bookmarkStart w:id="244" w:name="_Toc152045565"/>
      <w:bookmarkStart w:id="245" w:name="_Toc29538"/>
      <w:bookmarkStart w:id="246" w:name="_Toc152042341"/>
      <w:bookmarkStart w:id="247" w:name="_Toc144974533"/>
      <w:bookmarkStart w:id="248" w:name="_Toc179632583"/>
    </w:p>
    <w:p>
      <w:pPr>
        <w:widowControl/>
        <w:spacing w:line="440" w:lineRule="exact"/>
        <w:rPr>
          <w:rFonts w:hint="eastAsia" w:ascii="宋体"/>
          <w:b/>
          <w:bCs/>
          <w:color w:val="auto"/>
          <w:szCs w:val="21"/>
          <w:highlight w:val="none"/>
        </w:rPr>
      </w:pPr>
      <w:r>
        <w:rPr>
          <w:rFonts w:hint="eastAsia" w:ascii="宋体"/>
          <w:b/>
          <w:bCs/>
          <w:color w:val="auto"/>
          <w:szCs w:val="21"/>
          <w:highlight w:val="none"/>
        </w:rPr>
        <w:t>6.3 评标</w:t>
      </w:r>
      <w:bookmarkEnd w:id="244"/>
      <w:bookmarkEnd w:id="245"/>
      <w:bookmarkEnd w:id="246"/>
      <w:bookmarkEnd w:id="247"/>
      <w:bookmarkEnd w:id="248"/>
      <w:bookmarkStart w:id="249" w:name="_Toc3616"/>
    </w:p>
    <w:p>
      <w:pPr>
        <w:widowControl/>
        <w:spacing w:line="440" w:lineRule="exact"/>
        <w:ind w:left="420" w:leftChars="200" w:firstLine="210" w:firstLineChars="100"/>
        <w:rPr>
          <w:rFonts w:hint="eastAsia" w:ascii="宋体"/>
          <w:color w:val="auto"/>
          <w:szCs w:val="21"/>
          <w:highlight w:val="none"/>
        </w:rPr>
      </w:pPr>
      <w:r>
        <w:rPr>
          <w:rFonts w:hint="eastAsia" w:ascii="宋体"/>
          <w:color w:val="auto"/>
          <w:szCs w:val="21"/>
          <w:highlight w:val="none"/>
        </w:rPr>
        <w:t>评标委员会按照第三章“评标办法”规定的方法、评审因素、标准和程序对投标文件进行评审。第三章“评标办法”没有规定的方法、评审因素和标准，不作为评标依据。</w:t>
      </w:r>
      <w:bookmarkEnd w:id="249"/>
      <w:bookmarkStart w:id="250" w:name="_Toc152045566"/>
      <w:bookmarkStart w:id="251" w:name="_Toc152042342"/>
      <w:bookmarkStart w:id="252" w:name="_Toc179632584"/>
      <w:bookmarkStart w:id="253" w:name="_Toc14691"/>
      <w:bookmarkStart w:id="254" w:name="_Toc144974534"/>
    </w:p>
    <w:p>
      <w:pPr>
        <w:widowControl/>
        <w:spacing w:line="440" w:lineRule="exact"/>
        <w:rPr>
          <w:rFonts w:hint="eastAsia" w:ascii="宋体"/>
          <w:b/>
          <w:bCs/>
          <w:color w:val="auto"/>
          <w:szCs w:val="21"/>
          <w:highlight w:val="none"/>
        </w:rPr>
      </w:pPr>
    </w:p>
    <w:p>
      <w:pPr>
        <w:widowControl/>
        <w:spacing w:line="440" w:lineRule="exact"/>
        <w:rPr>
          <w:rFonts w:hint="eastAsia" w:ascii="宋体"/>
          <w:b/>
          <w:bCs/>
          <w:color w:val="auto"/>
          <w:szCs w:val="21"/>
          <w:highlight w:val="none"/>
        </w:rPr>
      </w:pPr>
      <w:r>
        <w:rPr>
          <w:rFonts w:hint="eastAsia" w:ascii="宋体"/>
          <w:b/>
          <w:bCs/>
          <w:color w:val="auto"/>
          <w:szCs w:val="21"/>
          <w:highlight w:val="none"/>
        </w:rPr>
        <w:t>7. 合同授予</w:t>
      </w:r>
      <w:bookmarkEnd w:id="250"/>
      <w:bookmarkEnd w:id="251"/>
      <w:bookmarkEnd w:id="252"/>
      <w:bookmarkEnd w:id="253"/>
      <w:bookmarkEnd w:id="254"/>
      <w:bookmarkStart w:id="255" w:name="_Toc179632585"/>
      <w:bookmarkStart w:id="256" w:name="_Toc152045567"/>
      <w:bookmarkStart w:id="257" w:name="_Toc30998"/>
      <w:bookmarkStart w:id="258" w:name="_Toc152042343"/>
      <w:bookmarkStart w:id="259" w:name="_Toc144974535"/>
    </w:p>
    <w:p>
      <w:pPr>
        <w:widowControl/>
        <w:spacing w:line="440" w:lineRule="exact"/>
        <w:rPr>
          <w:rFonts w:hint="eastAsia" w:ascii="宋体"/>
          <w:b/>
          <w:bCs/>
          <w:color w:val="auto"/>
          <w:szCs w:val="21"/>
          <w:highlight w:val="none"/>
        </w:rPr>
      </w:pPr>
      <w:r>
        <w:rPr>
          <w:rFonts w:hint="eastAsia" w:ascii="宋体"/>
          <w:b/>
          <w:bCs/>
          <w:color w:val="auto"/>
          <w:szCs w:val="21"/>
          <w:highlight w:val="none"/>
        </w:rPr>
        <w:t>7.1 定标方式</w:t>
      </w:r>
      <w:bookmarkEnd w:id="255"/>
      <w:bookmarkEnd w:id="256"/>
      <w:bookmarkEnd w:id="257"/>
      <w:bookmarkEnd w:id="258"/>
      <w:bookmarkEnd w:id="259"/>
    </w:p>
    <w:p>
      <w:pPr>
        <w:widowControl/>
        <w:spacing w:line="440" w:lineRule="exact"/>
        <w:ind w:left="420" w:leftChars="200" w:firstLine="210" w:firstLineChars="100"/>
        <w:rPr>
          <w:rFonts w:hint="eastAsia" w:ascii="宋体"/>
          <w:color w:val="auto"/>
          <w:szCs w:val="21"/>
          <w:highlight w:val="none"/>
        </w:rPr>
      </w:pPr>
      <w:bookmarkStart w:id="260" w:name="_Toc6586"/>
      <w:r>
        <w:rPr>
          <w:rFonts w:hint="eastAsia" w:ascii="宋体"/>
          <w:color w:val="auto"/>
          <w:szCs w:val="21"/>
          <w:highlight w:val="none"/>
        </w:rPr>
        <w:t>除投标人须知前附表规定评标委员会直接确定中标人外，招标人依据评标委员会推荐的中标候选人确定中标人，评标委员会推荐中标候选人的人数见投标人须知前附表。</w:t>
      </w:r>
      <w:bookmarkEnd w:id="260"/>
    </w:p>
    <w:p>
      <w:pPr>
        <w:widowControl/>
        <w:spacing w:line="440" w:lineRule="exact"/>
        <w:rPr>
          <w:rFonts w:hint="eastAsia" w:ascii="宋体"/>
          <w:b/>
          <w:bCs/>
          <w:color w:val="auto"/>
          <w:szCs w:val="21"/>
          <w:highlight w:val="none"/>
        </w:rPr>
      </w:pPr>
      <w:bookmarkStart w:id="261" w:name="_Toc179632586"/>
      <w:bookmarkStart w:id="262" w:name="_Toc152045568"/>
      <w:bookmarkStart w:id="263" w:name="_Toc27651"/>
      <w:bookmarkStart w:id="264" w:name="_Toc144974536"/>
      <w:bookmarkStart w:id="265" w:name="_Toc152042344"/>
      <w:r>
        <w:rPr>
          <w:rFonts w:hint="eastAsia" w:ascii="宋体"/>
          <w:b/>
          <w:bCs/>
          <w:color w:val="auto"/>
          <w:szCs w:val="21"/>
          <w:highlight w:val="none"/>
        </w:rPr>
        <w:t>7.2 中标通知</w:t>
      </w:r>
      <w:bookmarkEnd w:id="261"/>
      <w:bookmarkEnd w:id="262"/>
      <w:bookmarkEnd w:id="263"/>
      <w:bookmarkEnd w:id="264"/>
      <w:bookmarkEnd w:id="265"/>
    </w:p>
    <w:p>
      <w:pPr>
        <w:widowControl/>
        <w:spacing w:line="440" w:lineRule="exact"/>
        <w:ind w:left="420" w:leftChars="200" w:firstLine="210" w:firstLineChars="100"/>
        <w:rPr>
          <w:rFonts w:hint="eastAsia" w:ascii="宋体"/>
          <w:color w:val="auto"/>
          <w:szCs w:val="21"/>
          <w:highlight w:val="none"/>
        </w:rPr>
      </w:pPr>
      <w:bookmarkStart w:id="266" w:name="_Toc7736"/>
      <w:r>
        <w:rPr>
          <w:rFonts w:hint="eastAsia" w:ascii="宋体"/>
          <w:color w:val="auto"/>
          <w:szCs w:val="21"/>
          <w:highlight w:val="none"/>
        </w:rPr>
        <w:t>在本章第3.3款规定的投标有效期内，招标人以书面形式向中标人发出中标通知书，同时将中标结果通知未中标的投标人。</w:t>
      </w:r>
      <w:bookmarkEnd w:id="266"/>
    </w:p>
    <w:p>
      <w:pPr>
        <w:widowControl/>
        <w:spacing w:line="440" w:lineRule="exact"/>
        <w:rPr>
          <w:rFonts w:hint="eastAsia" w:ascii="宋体"/>
          <w:b/>
          <w:bCs/>
          <w:color w:val="auto"/>
          <w:szCs w:val="21"/>
          <w:highlight w:val="none"/>
        </w:rPr>
      </w:pPr>
      <w:bookmarkStart w:id="267" w:name="_Toc179632587"/>
      <w:bookmarkStart w:id="268" w:name="_Toc144974537"/>
      <w:bookmarkStart w:id="269" w:name="_Toc152042345"/>
      <w:bookmarkStart w:id="270" w:name="_Toc152045569"/>
      <w:bookmarkStart w:id="271" w:name="_Toc31580"/>
      <w:r>
        <w:rPr>
          <w:rFonts w:hint="eastAsia" w:ascii="宋体"/>
          <w:b/>
          <w:bCs/>
          <w:color w:val="auto"/>
          <w:szCs w:val="21"/>
          <w:highlight w:val="none"/>
        </w:rPr>
        <w:t>7.3 履约担保</w:t>
      </w:r>
      <w:bookmarkEnd w:id="267"/>
      <w:bookmarkEnd w:id="268"/>
      <w:bookmarkEnd w:id="269"/>
      <w:bookmarkEnd w:id="270"/>
      <w:bookmarkEnd w:id="271"/>
    </w:p>
    <w:p>
      <w:pPr>
        <w:widowControl/>
        <w:spacing w:line="440" w:lineRule="exact"/>
        <w:ind w:left="420" w:leftChars="200" w:firstLine="210" w:firstLineChars="100"/>
        <w:rPr>
          <w:rFonts w:hint="eastAsia" w:ascii="宋体"/>
          <w:color w:val="auto"/>
          <w:szCs w:val="21"/>
          <w:highlight w:val="none"/>
        </w:rPr>
      </w:pPr>
      <w:bookmarkStart w:id="272" w:name="_Toc31704"/>
      <w:r>
        <w:rPr>
          <w:rFonts w:hint="eastAsia" w:ascii="宋体"/>
          <w:color w:val="auto"/>
          <w:szCs w:val="21"/>
          <w:highlight w:val="none"/>
        </w:rPr>
        <w:t>7.3.1在签订合同前，中标人应按投标人须知前附表规定向招标人提交履约担保。</w:t>
      </w:r>
      <w:bookmarkEnd w:id="272"/>
    </w:p>
    <w:p>
      <w:pPr>
        <w:widowControl/>
        <w:spacing w:line="440" w:lineRule="exact"/>
        <w:ind w:left="420" w:leftChars="200" w:firstLine="210" w:firstLineChars="100"/>
        <w:rPr>
          <w:rFonts w:hint="eastAsia" w:ascii="宋体"/>
          <w:color w:val="auto"/>
          <w:szCs w:val="21"/>
          <w:highlight w:val="none"/>
        </w:rPr>
      </w:pPr>
      <w:bookmarkStart w:id="273" w:name="_Toc6432"/>
      <w:r>
        <w:rPr>
          <w:rFonts w:hint="eastAsia" w:ascii="宋体"/>
          <w:color w:val="auto"/>
          <w:szCs w:val="21"/>
          <w:highlight w:val="none"/>
        </w:rPr>
        <w:t>7.3.2 中标人不能按本章第7.3.1项要求提交履约担保的，视为放弃中标，其投标保证金不予退还，给招标人造成的损失超过投标保证金数额的，中标人还应当对超过部分予以赔偿。</w:t>
      </w:r>
      <w:bookmarkEnd w:id="273"/>
    </w:p>
    <w:p>
      <w:pPr>
        <w:widowControl/>
        <w:spacing w:line="440" w:lineRule="exact"/>
        <w:rPr>
          <w:rFonts w:hint="eastAsia" w:ascii="宋体"/>
          <w:b/>
          <w:bCs/>
          <w:color w:val="auto"/>
          <w:szCs w:val="21"/>
          <w:highlight w:val="none"/>
        </w:rPr>
      </w:pPr>
      <w:bookmarkStart w:id="274" w:name="_Toc144974538"/>
      <w:bookmarkStart w:id="275" w:name="_Toc152042346"/>
      <w:bookmarkStart w:id="276" w:name="_Toc179632588"/>
      <w:bookmarkStart w:id="277" w:name="_Toc29125"/>
      <w:bookmarkStart w:id="278" w:name="_Toc152045570"/>
      <w:r>
        <w:rPr>
          <w:rFonts w:hint="eastAsia" w:ascii="宋体"/>
          <w:b/>
          <w:bCs/>
          <w:color w:val="auto"/>
          <w:szCs w:val="21"/>
          <w:highlight w:val="none"/>
        </w:rPr>
        <w:t>7.4 签订合同</w:t>
      </w:r>
      <w:bookmarkEnd w:id="274"/>
      <w:bookmarkEnd w:id="275"/>
      <w:bookmarkEnd w:id="276"/>
      <w:bookmarkEnd w:id="277"/>
      <w:bookmarkEnd w:id="278"/>
    </w:p>
    <w:p>
      <w:pPr>
        <w:widowControl/>
        <w:spacing w:line="440" w:lineRule="exact"/>
        <w:ind w:left="420" w:leftChars="200" w:firstLine="210" w:firstLineChars="100"/>
        <w:rPr>
          <w:rFonts w:hint="eastAsia" w:ascii="宋体"/>
          <w:color w:val="auto"/>
          <w:szCs w:val="21"/>
          <w:highlight w:val="none"/>
        </w:rPr>
      </w:pPr>
      <w:bookmarkStart w:id="279" w:name="_Toc28748"/>
      <w:r>
        <w:rPr>
          <w:rFonts w:hint="eastAsia" w:ascii="宋体"/>
          <w:color w:val="auto"/>
          <w:szCs w:val="21"/>
          <w:highlight w:val="none"/>
        </w:rPr>
        <w:t>7.4.1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bookmarkEnd w:id="279"/>
      <w:r>
        <w:rPr>
          <w:rFonts w:hint="eastAsia" w:ascii="宋体"/>
          <w:color w:val="auto"/>
          <w:szCs w:val="21"/>
          <w:highlight w:val="none"/>
        </w:rPr>
        <w:t xml:space="preserve"> </w:t>
      </w:r>
    </w:p>
    <w:p>
      <w:pPr>
        <w:widowControl/>
        <w:spacing w:line="440" w:lineRule="exact"/>
        <w:ind w:left="420" w:leftChars="200" w:firstLine="210" w:firstLineChars="100"/>
        <w:rPr>
          <w:rFonts w:hint="eastAsia" w:ascii="宋体"/>
          <w:color w:val="auto"/>
          <w:szCs w:val="21"/>
          <w:highlight w:val="none"/>
        </w:rPr>
      </w:pPr>
      <w:bookmarkStart w:id="280" w:name="_Toc19842"/>
      <w:r>
        <w:rPr>
          <w:rFonts w:hint="eastAsia" w:ascii="宋体"/>
          <w:color w:val="auto"/>
          <w:szCs w:val="21"/>
          <w:highlight w:val="none"/>
        </w:rPr>
        <w:t>7.4.2 发出中标通知书后，招标人无正当理由拒签合同的，招标人向中标人退还投标保证金；给中标人造成损失的，还应当赔偿损失。</w:t>
      </w:r>
      <w:bookmarkEnd w:id="280"/>
    </w:p>
    <w:p>
      <w:pPr>
        <w:widowControl/>
        <w:spacing w:line="440" w:lineRule="exact"/>
        <w:rPr>
          <w:rFonts w:hint="eastAsia" w:ascii="宋体"/>
          <w:b/>
          <w:bCs/>
          <w:color w:val="auto"/>
          <w:szCs w:val="21"/>
          <w:highlight w:val="none"/>
        </w:rPr>
      </w:pPr>
      <w:bookmarkStart w:id="281" w:name="_Toc152042347"/>
      <w:bookmarkStart w:id="282" w:name="_Toc152045571"/>
      <w:bookmarkStart w:id="283" w:name="_Toc144974539"/>
      <w:bookmarkStart w:id="284" w:name="_Toc5357"/>
      <w:bookmarkStart w:id="285" w:name="_Toc179632589"/>
    </w:p>
    <w:p>
      <w:pPr>
        <w:widowControl/>
        <w:spacing w:line="440" w:lineRule="exact"/>
        <w:rPr>
          <w:rFonts w:hint="eastAsia" w:ascii="宋体"/>
          <w:b/>
          <w:bCs/>
          <w:color w:val="auto"/>
          <w:szCs w:val="21"/>
          <w:highlight w:val="none"/>
        </w:rPr>
      </w:pPr>
      <w:r>
        <w:rPr>
          <w:rFonts w:hint="eastAsia" w:ascii="宋体"/>
          <w:b/>
          <w:bCs/>
          <w:color w:val="auto"/>
          <w:szCs w:val="21"/>
          <w:highlight w:val="none"/>
        </w:rPr>
        <w:t>8. 重新招标和不再招标</w:t>
      </w:r>
      <w:bookmarkEnd w:id="281"/>
      <w:bookmarkEnd w:id="282"/>
      <w:bookmarkEnd w:id="283"/>
      <w:bookmarkEnd w:id="284"/>
      <w:bookmarkEnd w:id="285"/>
    </w:p>
    <w:p>
      <w:pPr>
        <w:widowControl/>
        <w:spacing w:line="440" w:lineRule="exact"/>
        <w:rPr>
          <w:rFonts w:hint="eastAsia" w:ascii="宋体"/>
          <w:b/>
          <w:bCs/>
          <w:color w:val="auto"/>
          <w:szCs w:val="21"/>
          <w:highlight w:val="none"/>
        </w:rPr>
      </w:pPr>
      <w:bookmarkStart w:id="286" w:name="_Toc179632590"/>
      <w:bookmarkStart w:id="287" w:name="_Toc152045572"/>
      <w:bookmarkStart w:id="288" w:name="_Toc144974540"/>
      <w:bookmarkStart w:id="289" w:name="_Toc9525"/>
      <w:bookmarkStart w:id="290" w:name="_Toc152042348"/>
      <w:r>
        <w:rPr>
          <w:rFonts w:hint="eastAsia" w:ascii="宋体"/>
          <w:b/>
          <w:bCs/>
          <w:color w:val="auto"/>
          <w:szCs w:val="21"/>
          <w:highlight w:val="none"/>
        </w:rPr>
        <w:t>8.1 重新招标</w:t>
      </w:r>
      <w:bookmarkEnd w:id="286"/>
      <w:bookmarkEnd w:id="287"/>
      <w:bookmarkEnd w:id="288"/>
      <w:bookmarkEnd w:id="289"/>
      <w:bookmarkEnd w:id="290"/>
    </w:p>
    <w:p>
      <w:pPr>
        <w:widowControl/>
        <w:spacing w:line="440" w:lineRule="exact"/>
        <w:ind w:left="420" w:leftChars="200" w:firstLine="210" w:firstLineChars="100"/>
        <w:rPr>
          <w:rFonts w:hint="eastAsia" w:ascii="宋体"/>
          <w:color w:val="auto"/>
          <w:szCs w:val="21"/>
          <w:highlight w:val="none"/>
        </w:rPr>
      </w:pPr>
      <w:bookmarkStart w:id="291" w:name="_Toc30131"/>
      <w:r>
        <w:rPr>
          <w:rFonts w:hint="eastAsia" w:ascii="宋体"/>
          <w:color w:val="auto"/>
          <w:szCs w:val="21"/>
          <w:highlight w:val="none"/>
        </w:rPr>
        <w:t>有下列情形之一的，招标人将重新招标：</w:t>
      </w:r>
      <w:bookmarkEnd w:id="291"/>
    </w:p>
    <w:p>
      <w:pPr>
        <w:widowControl/>
        <w:spacing w:line="440" w:lineRule="exact"/>
        <w:ind w:left="420" w:leftChars="200" w:firstLine="210" w:firstLineChars="100"/>
        <w:rPr>
          <w:rFonts w:hint="eastAsia" w:ascii="宋体"/>
          <w:color w:val="auto"/>
          <w:szCs w:val="21"/>
          <w:highlight w:val="none"/>
        </w:rPr>
      </w:pPr>
      <w:bookmarkStart w:id="292" w:name="_Toc8551"/>
      <w:r>
        <w:rPr>
          <w:rFonts w:hint="eastAsia" w:ascii="宋体"/>
          <w:color w:val="auto"/>
          <w:szCs w:val="21"/>
          <w:highlight w:val="none"/>
        </w:rPr>
        <w:t>（1）投标截止时间止，投标人少于3个的；</w:t>
      </w:r>
      <w:bookmarkEnd w:id="292"/>
    </w:p>
    <w:p>
      <w:pPr>
        <w:widowControl/>
        <w:spacing w:line="440" w:lineRule="exact"/>
        <w:ind w:left="420" w:leftChars="200" w:firstLine="210" w:firstLineChars="100"/>
        <w:rPr>
          <w:rFonts w:hint="eastAsia" w:ascii="宋体"/>
          <w:color w:val="auto"/>
          <w:szCs w:val="21"/>
          <w:highlight w:val="none"/>
        </w:rPr>
      </w:pPr>
      <w:bookmarkStart w:id="293" w:name="_Toc9013"/>
      <w:r>
        <w:rPr>
          <w:rFonts w:hint="eastAsia" w:ascii="宋体"/>
          <w:color w:val="auto"/>
          <w:szCs w:val="21"/>
          <w:highlight w:val="none"/>
        </w:rPr>
        <w:t>（2）经评标委员会评审后否决所有投标的。</w:t>
      </w:r>
      <w:bookmarkEnd w:id="293"/>
    </w:p>
    <w:p>
      <w:pPr>
        <w:widowControl/>
        <w:spacing w:line="440" w:lineRule="exact"/>
        <w:rPr>
          <w:rFonts w:hint="eastAsia" w:ascii="宋体"/>
          <w:b/>
          <w:bCs/>
          <w:color w:val="auto"/>
          <w:szCs w:val="21"/>
          <w:highlight w:val="none"/>
        </w:rPr>
      </w:pPr>
      <w:r>
        <w:rPr>
          <w:rFonts w:hint="eastAsia" w:ascii="宋体"/>
          <w:b/>
          <w:bCs/>
          <w:color w:val="auto"/>
          <w:szCs w:val="21"/>
          <w:highlight w:val="none"/>
        </w:rPr>
        <w:t xml:space="preserve"> </w:t>
      </w:r>
      <w:bookmarkStart w:id="294" w:name="_Toc179632591"/>
      <w:bookmarkStart w:id="295" w:name="_Toc144974541"/>
      <w:bookmarkStart w:id="296" w:name="_Toc152042349"/>
      <w:bookmarkStart w:id="297" w:name="_Toc152045573"/>
      <w:bookmarkStart w:id="298" w:name="_Toc14780"/>
      <w:r>
        <w:rPr>
          <w:rFonts w:hint="eastAsia" w:ascii="宋体"/>
          <w:b/>
          <w:bCs/>
          <w:color w:val="auto"/>
          <w:szCs w:val="21"/>
          <w:highlight w:val="none"/>
        </w:rPr>
        <w:t>8.2 不再招标</w:t>
      </w:r>
      <w:bookmarkEnd w:id="294"/>
      <w:bookmarkEnd w:id="295"/>
      <w:bookmarkEnd w:id="296"/>
      <w:bookmarkEnd w:id="297"/>
      <w:bookmarkEnd w:id="298"/>
    </w:p>
    <w:p>
      <w:pPr>
        <w:widowControl/>
        <w:spacing w:line="440" w:lineRule="exact"/>
        <w:ind w:left="420" w:leftChars="200" w:firstLine="210" w:firstLineChars="100"/>
        <w:rPr>
          <w:rFonts w:hint="eastAsia" w:ascii="宋体"/>
          <w:color w:val="auto"/>
          <w:szCs w:val="21"/>
          <w:highlight w:val="none"/>
        </w:rPr>
      </w:pPr>
      <w:bookmarkStart w:id="299" w:name="_Toc25160"/>
      <w:r>
        <w:rPr>
          <w:rFonts w:hint="eastAsia" w:ascii="宋体"/>
          <w:color w:val="auto"/>
          <w:szCs w:val="21"/>
          <w:highlight w:val="none"/>
        </w:rPr>
        <w:t>重新招标后投标人仍少于3个或者所有投标被否决的，属于必须审批或核准的工程建设项目，经原审批或核准部门批准后不再进行招标。</w:t>
      </w:r>
      <w:bookmarkEnd w:id="299"/>
    </w:p>
    <w:p>
      <w:pPr>
        <w:widowControl/>
        <w:spacing w:line="440" w:lineRule="exact"/>
        <w:rPr>
          <w:rFonts w:hint="eastAsia" w:ascii="宋体"/>
          <w:b/>
          <w:bCs/>
          <w:color w:val="auto"/>
          <w:szCs w:val="21"/>
          <w:highlight w:val="none"/>
        </w:rPr>
      </w:pPr>
      <w:bookmarkStart w:id="300" w:name="_Toc9323"/>
      <w:bookmarkStart w:id="301" w:name="_Toc144974542"/>
      <w:bookmarkStart w:id="302" w:name="_Toc152045574"/>
      <w:bookmarkStart w:id="303" w:name="_Toc179632592"/>
      <w:bookmarkStart w:id="304" w:name="_Toc152042350"/>
      <w:r>
        <w:rPr>
          <w:rFonts w:hint="eastAsia" w:ascii="宋体"/>
          <w:b/>
          <w:bCs/>
          <w:color w:val="auto"/>
          <w:szCs w:val="21"/>
          <w:highlight w:val="none"/>
        </w:rPr>
        <w:t>9. 纪律和监督</w:t>
      </w:r>
      <w:bookmarkEnd w:id="300"/>
      <w:bookmarkEnd w:id="301"/>
      <w:bookmarkEnd w:id="302"/>
      <w:bookmarkEnd w:id="303"/>
      <w:bookmarkEnd w:id="304"/>
    </w:p>
    <w:p>
      <w:pPr>
        <w:widowControl/>
        <w:spacing w:line="440" w:lineRule="exact"/>
        <w:rPr>
          <w:rFonts w:hint="eastAsia" w:ascii="宋体"/>
          <w:b/>
          <w:bCs/>
          <w:color w:val="auto"/>
          <w:szCs w:val="21"/>
          <w:highlight w:val="none"/>
        </w:rPr>
      </w:pPr>
      <w:bookmarkStart w:id="305" w:name="_Toc27160"/>
      <w:bookmarkStart w:id="306" w:name="_Toc144974543"/>
      <w:bookmarkStart w:id="307" w:name="_Toc152042351"/>
      <w:bookmarkStart w:id="308" w:name="_Toc179632593"/>
      <w:bookmarkStart w:id="309" w:name="_Toc152045575"/>
      <w:r>
        <w:rPr>
          <w:rFonts w:hint="eastAsia" w:ascii="宋体"/>
          <w:b/>
          <w:bCs/>
          <w:color w:val="auto"/>
          <w:szCs w:val="21"/>
          <w:highlight w:val="none"/>
        </w:rPr>
        <w:t>9.1 对招标人的纪律要求</w:t>
      </w:r>
      <w:bookmarkEnd w:id="305"/>
      <w:bookmarkEnd w:id="306"/>
      <w:bookmarkEnd w:id="307"/>
      <w:bookmarkEnd w:id="308"/>
      <w:bookmarkEnd w:id="309"/>
    </w:p>
    <w:p>
      <w:pPr>
        <w:widowControl/>
        <w:spacing w:line="440" w:lineRule="exact"/>
        <w:ind w:left="420" w:leftChars="200" w:firstLine="210" w:firstLineChars="100"/>
        <w:rPr>
          <w:rFonts w:hint="eastAsia" w:ascii="宋体"/>
          <w:color w:val="auto"/>
          <w:szCs w:val="21"/>
          <w:highlight w:val="none"/>
        </w:rPr>
      </w:pPr>
      <w:bookmarkStart w:id="310" w:name="_Toc30341"/>
      <w:r>
        <w:rPr>
          <w:rFonts w:hint="eastAsia" w:ascii="宋体"/>
          <w:color w:val="auto"/>
          <w:szCs w:val="21"/>
          <w:highlight w:val="none"/>
        </w:rPr>
        <w:t>招标人不得泄漏招标投标活动中应当保密的情况和资料，不得与投标人串通损害国家利益、社会公共利益或者他人合法权益。</w:t>
      </w:r>
      <w:bookmarkEnd w:id="310"/>
    </w:p>
    <w:p>
      <w:pPr>
        <w:widowControl/>
        <w:spacing w:line="440" w:lineRule="exact"/>
        <w:rPr>
          <w:rFonts w:hint="eastAsia" w:ascii="宋体"/>
          <w:b/>
          <w:bCs/>
          <w:color w:val="auto"/>
          <w:szCs w:val="21"/>
          <w:highlight w:val="none"/>
        </w:rPr>
      </w:pPr>
      <w:bookmarkStart w:id="311" w:name="_Toc152045576"/>
      <w:bookmarkStart w:id="312" w:name="_Toc179632594"/>
      <w:bookmarkStart w:id="313" w:name="_Toc144974544"/>
      <w:bookmarkStart w:id="314" w:name="_Toc152042352"/>
      <w:bookmarkStart w:id="315" w:name="_Toc29656"/>
      <w:r>
        <w:rPr>
          <w:rFonts w:hint="eastAsia" w:ascii="宋体"/>
          <w:b/>
          <w:bCs/>
          <w:color w:val="auto"/>
          <w:szCs w:val="21"/>
          <w:highlight w:val="none"/>
        </w:rPr>
        <w:t>9.2 对投标人的纪律要求</w:t>
      </w:r>
      <w:bookmarkEnd w:id="311"/>
      <w:bookmarkEnd w:id="312"/>
      <w:bookmarkEnd w:id="313"/>
      <w:bookmarkEnd w:id="314"/>
      <w:bookmarkEnd w:id="315"/>
    </w:p>
    <w:p>
      <w:pPr>
        <w:widowControl/>
        <w:spacing w:line="440" w:lineRule="exact"/>
        <w:ind w:left="420" w:leftChars="200" w:firstLine="210" w:firstLineChars="100"/>
        <w:rPr>
          <w:rFonts w:hint="eastAsia" w:ascii="宋体"/>
          <w:color w:val="auto"/>
          <w:szCs w:val="21"/>
          <w:highlight w:val="none"/>
        </w:rPr>
      </w:pPr>
      <w:bookmarkStart w:id="316" w:name="_Toc9024"/>
      <w:r>
        <w:rPr>
          <w:rFonts w:hint="eastAsia" w:ascii="宋体"/>
          <w:color w:val="auto"/>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bookmarkEnd w:id="316"/>
    </w:p>
    <w:p>
      <w:pPr>
        <w:widowControl/>
        <w:spacing w:line="440" w:lineRule="exact"/>
        <w:rPr>
          <w:rFonts w:hint="eastAsia" w:ascii="宋体"/>
          <w:b/>
          <w:bCs/>
          <w:color w:val="auto"/>
          <w:szCs w:val="21"/>
          <w:highlight w:val="none"/>
        </w:rPr>
      </w:pPr>
      <w:bookmarkStart w:id="317" w:name="_Toc152042353"/>
      <w:bookmarkStart w:id="318" w:name="_Toc144974545"/>
      <w:bookmarkStart w:id="319" w:name="_Toc152045577"/>
      <w:bookmarkStart w:id="320" w:name="_Toc12627"/>
      <w:bookmarkStart w:id="321" w:name="_Toc179632595"/>
      <w:r>
        <w:rPr>
          <w:rFonts w:hint="eastAsia" w:ascii="宋体"/>
          <w:b/>
          <w:bCs/>
          <w:color w:val="auto"/>
          <w:szCs w:val="21"/>
          <w:highlight w:val="none"/>
        </w:rPr>
        <w:t>9.3 对评标委员会成员的纪律要求</w:t>
      </w:r>
      <w:bookmarkEnd w:id="317"/>
      <w:bookmarkEnd w:id="318"/>
      <w:bookmarkEnd w:id="319"/>
      <w:bookmarkEnd w:id="320"/>
      <w:bookmarkEnd w:id="321"/>
    </w:p>
    <w:p>
      <w:pPr>
        <w:widowControl/>
        <w:spacing w:line="440" w:lineRule="exact"/>
        <w:ind w:left="420" w:leftChars="200" w:firstLine="210" w:firstLineChars="100"/>
        <w:rPr>
          <w:rFonts w:hint="eastAsia" w:ascii="宋体"/>
          <w:color w:val="auto"/>
          <w:szCs w:val="21"/>
          <w:highlight w:val="none"/>
        </w:rPr>
      </w:pPr>
      <w:bookmarkStart w:id="322" w:name="_Toc15083"/>
      <w:r>
        <w:rPr>
          <w:rFonts w:hint="eastAsia" w:ascii="宋体"/>
          <w:color w:val="auto"/>
          <w:szCs w:val="21"/>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bookmarkEnd w:id="322"/>
    </w:p>
    <w:p>
      <w:pPr>
        <w:widowControl/>
        <w:spacing w:line="440" w:lineRule="exact"/>
        <w:rPr>
          <w:rFonts w:hint="eastAsia" w:ascii="宋体"/>
          <w:b/>
          <w:bCs/>
          <w:color w:val="auto"/>
          <w:szCs w:val="21"/>
          <w:highlight w:val="none"/>
        </w:rPr>
      </w:pPr>
      <w:bookmarkStart w:id="323" w:name="_Toc152045578"/>
      <w:bookmarkStart w:id="324" w:name="_Toc179632596"/>
      <w:bookmarkStart w:id="325" w:name="_Toc152042354"/>
      <w:bookmarkStart w:id="326" w:name="_Toc10400"/>
      <w:bookmarkStart w:id="327" w:name="_Toc144974546"/>
      <w:r>
        <w:rPr>
          <w:rFonts w:hint="eastAsia" w:ascii="宋体"/>
          <w:b/>
          <w:bCs/>
          <w:color w:val="auto"/>
          <w:szCs w:val="21"/>
          <w:highlight w:val="none"/>
        </w:rPr>
        <w:t>9.4 对与评标活动有关的工作人员的纪律要求</w:t>
      </w:r>
      <w:bookmarkEnd w:id="323"/>
      <w:bookmarkEnd w:id="324"/>
      <w:bookmarkEnd w:id="325"/>
      <w:bookmarkEnd w:id="326"/>
    </w:p>
    <w:p>
      <w:pPr>
        <w:widowControl/>
        <w:spacing w:line="440" w:lineRule="exact"/>
        <w:ind w:left="420" w:leftChars="200" w:firstLine="210" w:firstLineChars="100"/>
        <w:rPr>
          <w:rFonts w:hint="eastAsia" w:ascii="宋体"/>
          <w:color w:val="auto"/>
          <w:szCs w:val="21"/>
          <w:highlight w:val="none"/>
        </w:rPr>
      </w:pPr>
      <w:bookmarkStart w:id="328" w:name="_Toc152042355"/>
      <w:bookmarkStart w:id="329" w:name="_Toc3638"/>
      <w:r>
        <w:rPr>
          <w:rFonts w:hint="eastAsia" w:ascii="宋体"/>
          <w:color w:val="auto"/>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28"/>
      <w:bookmarkEnd w:id="329"/>
    </w:p>
    <w:p>
      <w:pPr>
        <w:widowControl/>
        <w:spacing w:line="440" w:lineRule="exact"/>
        <w:rPr>
          <w:rFonts w:hint="eastAsia" w:ascii="宋体"/>
          <w:b/>
          <w:bCs/>
          <w:color w:val="auto"/>
          <w:szCs w:val="21"/>
          <w:highlight w:val="none"/>
        </w:rPr>
      </w:pPr>
      <w:bookmarkStart w:id="330" w:name="_Toc179632597"/>
      <w:bookmarkStart w:id="331" w:name="_Toc152045579"/>
      <w:bookmarkStart w:id="332" w:name="_Toc9921"/>
      <w:bookmarkStart w:id="333" w:name="_Toc152042356"/>
      <w:r>
        <w:rPr>
          <w:rFonts w:hint="eastAsia" w:ascii="宋体"/>
          <w:b/>
          <w:bCs/>
          <w:color w:val="auto"/>
          <w:szCs w:val="21"/>
          <w:highlight w:val="none"/>
        </w:rPr>
        <w:t>9.5 投诉</w:t>
      </w:r>
      <w:bookmarkEnd w:id="327"/>
      <w:bookmarkEnd w:id="330"/>
      <w:bookmarkEnd w:id="331"/>
      <w:bookmarkEnd w:id="332"/>
      <w:bookmarkEnd w:id="333"/>
    </w:p>
    <w:p>
      <w:pPr>
        <w:widowControl/>
        <w:spacing w:line="440" w:lineRule="exact"/>
        <w:ind w:left="420" w:leftChars="200" w:firstLine="210" w:firstLineChars="100"/>
        <w:rPr>
          <w:rFonts w:hint="eastAsia" w:ascii="宋体"/>
          <w:color w:val="auto"/>
          <w:szCs w:val="21"/>
          <w:highlight w:val="none"/>
        </w:rPr>
      </w:pPr>
      <w:bookmarkStart w:id="334" w:name="_Toc16619"/>
      <w:r>
        <w:rPr>
          <w:rFonts w:hint="eastAsia" w:ascii="宋体"/>
          <w:color w:val="auto"/>
          <w:szCs w:val="21"/>
          <w:highlight w:val="none"/>
        </w:rPr>
        <w:t>投标人和其他利害关系人认为本次招标活动违反法律、法规和规章规定的，有权向有关行政监督部门投诉。</w:t>
      </w:r>
      <w:bookmarkEnd w:id="334"/>
    </w:p>
    <w:p>
      <w:pPr>
        <w:widowControl/>
        <w:spacing w:line="440" w:lineRule="exact"/>
        <w:rPr>
          <w:rFonts w:hint="eastAsia" w:ascii="宋体"/>
          <w:b/>
          <w:bCs/>
          <w:color w:val="auto"/>
          <w:szCs w:val="21"/>
          <w:highlight w:val="none"/>
        </w:rPr>
      </w:pPr>
      <w:bookmarkStart w:id="335" w:name="_Toc18427"/>
      <w:r>
        <w:rPr>
          <w:rFonts w:hint="eastAsia" w:ascii="宋体"/>
          <w:b/>
          <w:bCs/>
          <w:color w:val="auto"/>
          <w:szCs w:val="21"/>
          <w:highlight w:val="none"/>
        </w:rPr>
        <w:t>10. 需要补充的其他内容</w:t>
      </w:r>
      <w:bookmarkEnd w:id="335"/>
    </w:p>
    <w:p>
      <w:pPr>
        <w:widowControl/>
        <w:spacing w:line="440" w:lineRule="exact"/>
        <w:ind w:left="420" w:leftChars="200" w:firstLine="210" w:firstLineChars="100"/>
        <w:rPr>
          <w:rFonts w:hint="eastAsia" w:ascii="宋体"/>
          <w:color w:val="auto"/>
          <w:szCs w:val="21"/>
          <w:highlight w:val="none"/>
        </w:rPr>
      </w:pPr>
      <w:bookmarkStart w:id="336" w:name="_Toc28500"/>
      <w:r>
        <w:rPr>
          <w:rFonts w:hint="eastAsia" w:ascii="宋体"/>
          <w:color w:val="auto"/>
          <w:szCs w:val="21"/>
          <w:highlight w:val="none"/>
        </w:rPr>
        <w:t>详见投标</w:t>
      </w:r>
      <w:r>
        <w:rPr>
          <w:rFonts w:hint="eastAsia" w:ascii="宋体"/>
          <w:color w:val="auto"/>
          <w:szCs w:val="21"/>
          <w:highlight w:val="none"/>
          <w:lang w:eastAsia="zh-CN"/>
        </w:rPr>
        <w:t>人</w:t>
      </w:r>
      <w:r>
        <w:rPr>
          <w:rFonts w:hint="eastAsia" w:ascii="宋体"/>
          <w:color w:val="auto"/>
          <w:szCs w:val="21"/>
          <w:highlight w:val="none"/>
        </w:rPr>
        <w:t>须知前附表</w:t>
      </w:r>
      <w:bookmarkEnd w:id="336"/>
    </w:p>
    <w:p>
      <w:pPr>
        <w:rPr>
          <w:rFonts w:hint="eastAsia" w:ascii="黑体" w:eastAsia="黑体"/>
          <w:color w:val="auto"/>
          <w:sz w:val="40"/>
          <w:szCs w:val="40"/>
          <w:highlight w:val="none"/>
        </w:rPr>
      </w:pPr>
    </w:p>
    <w:p>
      <w:pPr>
        <w:pStyle w:val="8"/>
        <w:spacing w:line="240" w:lineRule="auto"/>
        <w:jc w:val="center"/>
        <w:rPr>
          <w:rFonts w:ascii="黑体" w:eastAsia="黑体"/>
          <w:b w:val="0"/>
          <w:color w:val="auto"/>
          <w:highlight w:val="none"/>
        </w:rPr>
      </w:pPr>
      <w:bookmarkStart w:id="337" w:name="_Toc3251_WPSOffice_Level1"/>
      <w:r>
        <w:rPr>
          <w:rFonts w:hint="eastAsia" w:ascii="黑体" w:eastAsia="黑体"/>
          <w:b w:val="0"/>
          <w:color w:val="auto"/>
          <w:highlight w:val="none"/>
        </w:rPr>
        <w:br w:type="page"/>
      </w:r>
      <w:r>
        <w:rPr>
          <w:rFonts w:hint="eastAsia" w:ascii="黑体" w:eastAsia="黑体"/>
          <w:b w:val="0"/>
          <w:color w:val="auto"/>
          <w:highlight w:val="none"/>
        </w:rPr>
        <w:t>第三章 评标办法</w:t>
      </w:r>
    </w:p>
    <w:p>
      <w:pPr>
        <w:spacing w:afterLines="50"/>
        <w:jc w:val="center"/>
        <w:rPr>
          <w:rFonts w:ascii="黑体" w:eastAsia="黑体"/>
          <w:color w:val="auto"/>
          <w:sz w:val="24"/>
          <w:highlight w:val="none"/>
        </w:rPr>
      </w:pPr>
      <w:r>
        <w:rPr>
          <w:rFonts w:hint="eastAsia" w:ascii="黑体" w:hAnsi="黑体"/>
          <w:color w:val="auto"/>
          <w:sz w:val="36"/>
          <w:szCs w:val="44"/>
          <w:highlight w:val="none"/>
        </w:rPr>
        <w:t>评标办法前附表</w:t>
      </w:r>
    </w:p>
    <w:p>
      <w:pPr>
        <w:rPr>
          <w:rFonts w:hint="eastAsia" w:ascii="宋体"/>
          <w:b/>
          <w:bCs/>
          <w:color w:val="auto"/>
          <w:szCs w:val="21"/>
          <w:highlight w:val="none"/>
        </w:rPr>
      </w:pPr>
    </w:p>
    <w:bookmarkEnd w:id="13"/>
    <w:bookmarkEnd w:id="337"/>
    <w:tbl>
      <w:tblPr>
        <w:tblStyle w:val="19"/>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9"/>
        <w:gridCol w:w="612"/>
        <w:gridCol w:w="504"/>
        <w:gridCol w:w="2216"/>
        <w:gridCol w:w="868"/>
        <w:gridCol w:w="4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480" w:type="dxa"/>
            <w:gridSpan w:val="3"/>
            <w:tcBorders>
              <w:tl2br w:val="nil"/>
              <w:tr2bl w:val="nil"/>
            </w:tcBorders>
            <w:vAlign w:val="center"/>
          </w:tcPr>
          <w:p>
            <w:pPr>
              <w:pStyle w:val="22"/>
              <w:spacing w:line="360" w:lineRule="exact"/>
              <w:jc w:val="center"/>
              <w:rPr>
                <w:rFonts w:ascii="宋体" w:eastAsia="宋体" w:cs="宋体"/>
                <w:b/>
                <w:color w:val="auto"/>
                <w:sz w:val="24"/>
                <w:szCs w:val="24"/>
                <w:highlight w:val="none"/>
              </w:rPr>
            </w:pPr>
            <w:bookmarkStart w:id="338" w:name="_Toc27547_WPSOffice_Level1"/>
            <w:bookmarkStart w:id="339" w:name="_Toc448154701"/>
            <w:r>
              <w:rPr>
                <w:rFonts w:hint="eastAsia" w:ascii="宋体" w:eastAsia="宋体" w:cs="宋体"/>
                <w:b/>
                <w:color w:val="auto"/>
                <w:sz w:val="24"/>
                <w:szCs w:val="24"/>
                <w:highlight w:val="none"/>
              </w:rPr>
              <w:t>条款号</w:t>
            </w:r>
          </w:p>
        </w:tc>
        <w:tc>
          <w:tcPr>
            <w:tcW w:w="3588" w:type="dxa"/>
            <w:gridSpan w:val="3"/>
            <w:tcBorders>
              <w:tl2br w:val="nil"/>
              <w:tr2bl w:val="nil"/>
            </w:tcBorders>
            <w:vAlign w:val="center"/>
          </w:tcPr>
          <w:p>
            <w:pPr>
              <w:pStyle w:val="22"/>
              <w:spacing w:line="360" w:lineRule="exact"/>
              <w:jc w:val="center"/>
              <w:rPr>
                <w:rFonts w:ascii="宋体" w:eastAsia="宋体" w:cs="宋体"/>
                <w:b/>
                <w:color w:val="auto"/>
                <w:sz w:val="24"/>
                <w:szCs w:val="24"/>
                <w:highlight w:val="none"/>
              </w:rPr>
            </w:pPr>
            <w:r>
              <w:rPr>
                <w:rFonts w:hint="eastAsia" w:ascii="宋体" w:eastAsia="宋体" w:cs="宋体"/>
                <w:b/>
                <w:color w:val="auto"/>
                <w:sz w:val="24"/>
                <w:szCs w:val="24"/>
                <w:highlight w:val="none"/>
              </w:rPr>
              <w:t>评审因素</w:t>
            </w:r>
          </w:p>
        </w:tc>
        <w:tc>
          <w:tcPr>
            <w:tcW w:w="4813" w:type="dxa"/>
            <w:tcBorders>
              <w:tl2br w:val="nil"/>
              <w:tr2bl w:val="nil"/>
            </w:tcBorders>
            <w:vAlign w:val="center"/>
          </w:tcPr>
          <w:p>
            <w:pPr>
              <w:pStyle w:val="22"/>
              <w:spacing w:line="360" w:lineRule="exact"/>
              <w:jc w:val="center"/>
              <w:rPr>
                <w:rFonts w:ascii="宋体" w:eastAsia="宋体" w:cs="宋体"/>
                <w:b/>
                <w:color w:val="auto"/>
                <w:sz w:val="24"/>
                <w:szCs w:val="24"/>
                <w:highlight w:val="none"/>
              </w:rPr>
            </w:pPr>
            <w:r>
              <w:rPr>
                <w:rFonts w:hint="eastAsia" w:ascii="宋体" w:eastAsia="宋体" w:cs="宋体"/>
                <w:b/>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849" w:type="dxa"/>
            <w:vMerge w:val="restart"/>
            <w:tcBorders>
              <w:tl2br w:val="nil"/>
              <w:tr2bl w:val="nil"/>
            </w:tcBorders>
            <w:vAlign w:val="center"/>
          </w:tcPr>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2.1.1</w:t>
            </w:r>
          </w:p>
        </w:tc>
        <w:tc>
          <w:tcPr>
            <w:tcW w:w="631" w:type="dxa"/>
            <w:gridSpan w:val="2"/>
            <w:vMerge w:val="restart"/>
            <w:tcBorders>
              <w:tl2br w:val="nil"/>
              <w:tr2bl w:val="nil"/>
            </w:tcBorders>
            <w:vAlign w:val="center"/>
          </w:tcPr>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形</w:t>
            </w:r>
          </w:p>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式</w:t>
            </w:r>
          </w:p>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评</w:t>
            </w:r>
          </w:p>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审</w:t>
            </w:r>
          </w:p>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标</w:t>
            </w:r>
          </w:p>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准</w:t>
            </w:r>
          </w:p>
        </w:tc>
        <w:tc>
          <w:tcPr>
            <w:tcW w:w="3588" w:type="dxa"/>
            <w:gridSpan w:val="3"/>
            <w:tcBorders>
              <w:tl2br w:val="nil"/>
              <w:tr2bl w:val="nil"/>
            </w:tcBorders>
            <w:vAlign w:val="center"/>
          </w:tcPr>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投标人名称</w:t>
            </w:r>
          </w:p>
        </w:tc>
        <w:tc>
          <w:tcPr>
            <w:tcW w:w="4813" w:type="dxa"/>
            <w:tcBorders>
              <w:tl2br w:val="nil"/>
              <w:tr2bl w:val="nil"/>
            </w:tcBorders>
            <w:vAlign w:val="center"/>
          </w:tcPr>
          <w:p>
            <w:pPr>
              <w:pStyle w:val="22"/>
              <w:spacing w:line="240" w:lineRule="atLeast"/>
              <w:rPr>
                <w:rFonts w:ascii="宋体" w:eastAsia="宋体" w:cs="宋体"/>
                <w:color w:val="auto"/>
                <w:sz w:val="24"/>
                <w:szCs w:val="24"/>
                <w:highlight w:val="none"/>
              </w:rPr>
            </w:pPr>
            <w:r>
              <w:rPr>
                <w:rFonts w:hint="eastAsia" w:ascii="宋体" w:eastAsia="宋体" w:cs="宋体"/>
                <w:color w:val="auto"/>
                <w:sz w:val="24"/>
                <w:szCs w:val="24"/>
                <w:highlight w:val="none"/>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849" w:type="dxa"/>
            <w:vMerge w:val="continue"/>
            <w:tcBorders>
              <w:tl2br w:val="nil"/>
              <w:tr2bl w:val="nil"/>
            </w:tcBorders>
            <w:vAlign w:val="center"/>
          </w:tcPr>
          <w:p>
            <w:pPr>
              <w:rPr>
                <w:color w:val="auto"/>
                <w:sz w:val="24"/>
                <w:szCs w:val="32"/>
                <w:highlight w:val="none"/>
              </w:rPr>
            </w:pPr>
          </w:p>
        </w:tc>
        <w:tc>
          <w:tcPr>
            <w:tcW w:w="631" w:type="dxa"/>
            <w:gridSpan w:val="2"/>
            <w:vMerge w:val="continue"/>
            <w:tcBorders>
              <w:tl2br w:val="nil"/>
              <w:tr2bl w:val="nil"/>
            </w:tcBorders>
            <w:vAlign w:val="center"/>
          </w:tcPr>
          <w:p>
            <w:pPr>
              <w:rPr>
                <w:color w:val="auto"/>
                <w:sz w:val="24"/>
                <w:szCs w:val="32"/>
                <w:highlight w:val="none"/>
              </w:rPr>
            </w:pPr>
          </w:p>
        </w:tc>
        <w:tc>
          <w:tcPr>
            <w:tcW w:w="3588" w:type="dxa"/>
            <w:gridSpan w:val="3"/>
            <w:tcBorders>
              <w:tl2br w:val="nil"/>
              <w:tr2bl w:val="nil"/>
            </w:tcBorders>
            <w:vAlign w:val="center"/>
          </w:tcPr>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投标函签字或盖章</w:t>
            </w:r>
          </w:p>
        </w:tc>
        <w:tc>
          <w:tcPr>
            <w:tcW w:w="4813" w:type="dxa"/>
            <w:tcBorders>
              <w:tl2br w:val="nil"/>
              <w:tr2bl w:val="nil"/>
            </w:tcBorders>
            <w:vAlign w:val="center"/>
          </w:tcPr>
          <w:p>
            <w:pPr>
              <w:pStyle w:val="22"/>
              <w:spacing w:line="240" w:lineRule="atLeast"/>
              <w:rPr>
                <w:rFonts w:ascii="宋体" w:eastAsia="宋体" w:cs="宋体"/>
                <w:color w:val="auto"/>
                <w:sz w:val="24"/>
                <w:szCs w:val="24"/>
                <w:highlight w:val="none"/>
              </w:rPr>
            </w:pPr>
            <w:r>
              <w:rPr>
                <w:rFonts w:hint="eastAsia" w:ascii="宋体" w:eastAsia="宋体" w:cs="宋体"/>
                <w:color w:val="auto"/>
                <w:sz w:val="24"/>
                <w:szCs w:val="24"/>
                <w:highlight w:val="none"/>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849" w:type="dxa"/>
            <w:vMerge w:val="continue"/>
            <w:tcBorders>
              <w:tl2br w:val="nil"/>
              <w:tr2bl w:val="nil"/>
            </w:tcBorders>
            <w:vAlign w:val="center"/>
          </w:tcPr>
          <w:p>
            <w:pPr>
              <w:rPr>
                <w:color w:val="auto"/>
                <w:sz w:val="24"/>
                <w:szCs w:val="32"/>
                <w:highlight w:val="none"/>
              </w:rPr>
            </w:pPr>
          </w:p>
        </w:tc>
        <w:tc>
          <w:tcPr>
            <w:tcW w:w="631" w:type="dxa"/>
            <w:gridSpan w:val="2"/>
            <w:vMerge w:val="continue"/>
            <w:tcBorders>
              <w:tl2br w:val="nil"/>
              <w:tr2bl w:val="nil"/>
            </w:tcBorders>
            <w:vAlign w:val="center"/>
          </w:tcPr>
          <w:p>
            <w:pPr>
              <w:rPr>
                <w:color w:val="auto"/>
                <w:sz w:val="24"/>
                <w:szCs w:val="32"/>
                <w:highlight w:val="none"/>
              </w:rPr>
            </w:pPr>
          </w:p>
        </w:tc>
        <w:tc>
          <w:tcPr>
            <w:tcW w:w="3588" w:type="dxa"/>
            <w:gridSpan w:val="3"/>
            <w:tcBorders>
              <w:tl2br w:val="nil"/>
              <w:tr2bl w:val="nil"/>
            </w:tcBorders>
            <w:vAlign w:val="center"/>
          </w:tcPr>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投标文件格式</w:t>
            </w:r>
          </w:p>
        </w:tc>
        <w:tc>
          <w:tcPr>
            <w:tcW w:w="4813" w:type="dxa"/>
            <w:tcBorders>
              <w:tl2br w:val="nil"/>
              <w:tr2bl w:val="nil"/>
            </w:tcBorders>
            <w:vAlign w:val="center"/>
          </w:tcPr>
          <w:p>
            <w:pPr>
              <w:pStyle w:val="22"/>
              <w:spacing w:line="240" w:lineRule="atLeast"/>
              <w:rPr>
                <w:rFonts w:ascii="宋体" w:eastAsia="宋体" w:cs="宋体"/>
                <w:color w:val="auto"/>
                <w:sz w:val="24"/>
                <w:szCs w:val="24"/>
                <w:highlight w:val="none"/>
              </w:rPr>
            </w:pPr>
            <w:r>
              <w:rPr>
                <w:rFonts w:hint="eastAsia" w:ascii="宋体" w:eastAsia="宋体" w:cs="宋体"/>
                <w:color w:val="auto"/>
                <w:sz w:val="24"/>
                <w:szCs w:val="24"/>
                <w:highlight w:val="none"/>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849" w:type="dxa"/>
            <w:vMerge w:val="continue"/>
            <w:tcBorders>
              <w:tl2br w:val="nil"/>
              <w:tr2bl w:val="nil"/>
            </w:tcBorders>
            <w:vAlign w:val="center"/>
          </w:tcPr>
          <w:p>
            <w:pPr>
              <w:rPr>
                <w:color w:val="auto"/>
                <w:sz w:val="24"/>
                <w:szCs w:val="32"/>
                <w:highlight w:val="none"/>
              </w:rPr>
            </w:pPr>
          </w:p>
        </w:tc>
        <w:tc>
          <w:tcPr>
            <w:tcW w:w="631" w:type="dxa"/>
            <w:gridSpan w:val="2"/>
            <w:vMerge w:val="continue"/>
            <w:tcBorders>
              <w:tl2br w:val="nil"/>
              <w:tr2bl w:val="nil"/>
            </w:tcBorders>
            <w:vAlign w:val="center"/>
          </w:tcPr>
          <w:p>
            <w:pPr>
              <w:rPr>
                <w:color w:val="auto"/>
                <w:sz w:val="24"/>
                <w:szCs w:val="32"/>
                <w:highlight w:val="none"/>
              </w:rPr>
            </w:pPr>
          </w:p>
        </w:tc>
        <w:tc>
          <w:tcPr>
            <w:tcW w:w="3588" w:type="dxa"/>
            <w:gridSpan w:val="3"/>
            <w:tcBorders>
              <w:tl2br w:val="nil"/>
              <w:tr2bl w:val="nil"/>
            </w:tcBorders>
            <w:vAlign w:val="center"/>
          </w:tcPr>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报价唯一</w:t>
            </w:r>
          </w:p>
        </w:tc>
        <w:tc>
          <w:tcPr>
            <w:tcW w:w="4813" w:type="dxa"/>
            <w:tcBorders>
              <w:tl2br w:val="nil"/>
              <w:tr2bl w:val="nil"/>
            </w:tcBorders>
            <w:vAlign w:val="center"/>
          </w:tcPr>
          <w:p>
            <w:pPr>
              <w:pStyle w:val="22"/>
              <w:spacing w:line="240" w:lineRule="atLeast"/>
              <w:rPr>
                <w:rFonts w:ascii="宋体" w:eastAsia="宋体" w:cs="宋体"/>
                <w:color w:val="auto"/>
                <w:sz w:val="24"/>
                <w:szCs w:val="24"/>
                <w:highlight w:val="none"/>
              </w:rPr>
            </w:pPr>
            <w:r>
              <w:rPr>
                <w:rFonts w:hint="eastAsia" w:ascii="宋体" w:eastAsia="宋体" w:cs="宋体"/>
                <w:color w:val="auto"/>
                <w:sz w:val="24"/>
                <w:szCs w:val="24"/>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7" w:hRule="atLeast"/>
          <w:jc w:val="center"/>
        </w:trPr>
        <w:tc>
          <w:tcPr>
            <w:tcW w:w="849" w:type="dxa"/>
            <w:tcBorders>
              <w:tl2br w:val="nil"/>
              <w:tr2bl w:val="nil"/>
            </w:tcBorders>
            <w:vAlign w:val="center"/>
          </w:tcPr>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2.1.2</w:t>
            </w:r>
          </w:p>
        </w:tc>
        <w:tc>
          <w:tcPr>
            <w:tcW w:w="631" w:type="dxa"/>
            <w:gridSpan w:val="2"/>
            <w:tcBorders>
              <w:tl2br w:val="nil"/>
              <w:tr2bl w:val="nil"/>
            </w:tcBorders>
            <w:vAlign w:val="center"/>
          </w:tcPr>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资</w:t>
            </w:r>
          </w:p>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格</w:t>
            </w:r>
          </w:p>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评</w:t>
            </w:r>
          </w:p>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审</w:t>
            </w:r>
          </w:p>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标</w:t>
            </w:r>
          </w:p>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准</w:t>
            </w:r>
          </w:p>
        </w:tc>
        <w:tc>
          <w:tcPr>
            <w:tcW w:w="8401" w:type="dxa"/>
            <w:gridSpan w:val="4"/>
            <w:tcBorders>
              <w:tl2br w:val="nil"/>
              <w:tr2bl w:val="nil"/>
            </w:tcBorders>
            <w:vAlign w:val="center"/>
          </w:tcPr>
          <w:p>
            <w:pPr>
              <w:snapToGrid w:val="0"/>
              <w:spacing w:beforeLines="50" w:afterLines="50" w:line="220" w:lineRule="exact"/>
              <w:jc w:val="center"/>
              <w:rPr>
                <w:rFonts w:ascii="宋体" w:cs="宋体"/>
                <w:b/>
                <w:bCs/>
                <w:color w:val="auto"/>
                <w:kern w:val="0"/>
                <w:sz w:val="24"/>
                <w:szCs w:val="24"/>
                <w:highlight w:val="none"/>
              </w:rPr>
            </w:pPr>
            <w:r>
              <w:rPr>
                <w:rFonts w:hint="eastAsia" w:ascii="宋体" w:cs="宋体"/>
                <w:b/>
                <w:bCs/>
                <w:color w:val="auto"/>
                <w:kern w:val="0"/>
                <w:sz w:val="24"/>
                <w:szCs w:val="24"/>
                <w:highlight w:val="none"/>
              </w:rPr>
              <w:t>符合第二章“投标人须知前附表”第1.4.1项规定。</w:t>
            </w:r>
          </w:p>
          <w:p>
            <w:pPr>
              <w:snapToGrid w:val="0"/>
              <w:spacing w:beforeLines="50" w:afterLines="50"/>
              <w:jc w:val="left"/>
              <w:rPr>
                <w:rFonts w:asci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849" w:type="dxa"/>
            <w:vMerge w:val="restart"/>
            <w:tcBorders>
              <w:tl2br w:val="nil"/>
              <w:tr2bl w:val="nil"/>
            </w:tcBorders>
            <w:vAlign w:val="center"/>
          </w:tcPr>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2.1.3</w:t>
            </w:r>
          </w:p>
        </w:tc>
        <w:tc>
          <w:tcPr>
            <w:tcW w:w="631" w:type="dxa"/>
            <w:gridSpan w:val="2"/>
            <w:vMerge w:val="restart"/>
            <w:tcBorders>
              <w:tl2br w:val="nil"/>
              <w:tr2bl w:val="nil"/>
            </w:tcBorders>
            <w:textDirection w:val="tbRlV"/>
            <w:vAlign w:val="center"/>
          </w:tcPr>
          <w:p>
            <w:pPr>
              <w:pStyle w:val="22"/>
              <w:spacing w:line="240" w:lineRule="atLeast"/>
              <w:ind w:left="113" w:right="113"/>
              <w:jc w:val="center"/>
              <w:rPr>
                <w:rFonts w:ascii="宋体" w:eastAsia="宋体" w:cs="宋体"/>
                <w:color w:val="auto"/>
                <w:sz w:val="24"/>
                <w:szCs w:val="24"/>
                <w:highlight w:val="none"/>
              </w:rPr>
            </w:pPr>
            <w:r>
              <w:rPr>
                <w:rFonts w:hint="eastAsia" w:ascii="宋体" w:eastAsia="宋体" w:cs="宋体"/>
                <w:color w:val="auto"/>
                <w:sz w:val="24"/>
                <w:szCs w:val="24"/>
                <w:highlight w:val="none"/>
              </w:rPr>
              <w:t>响应性评审标准</w:t>
            </w:r>
          </w:p>
        </w:tc>
        <w:tc>
          <w:tcPr>
            <w:tcW w:w="3588" w:type="dxa"/>
            <w:gridSpan w:val="3"/>
            <w:tcBorders>
              <w:tl2br w:val="nil"/>
              <w:tr2bl w:val="nil"/>
            </w:tcBorders>
            <w:vAlign w:val="center"/>
          </w:tcPr>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工期</w:t>
            </w:r>
          </w:p>
        </w:tc>
        <w:tc>
          <w:tcPr>
            <w:tcW w:w="4813" w:type="dxa"/>
            <w:tcBorders>
              <w:tl2br w:val="nil"/>
              <w:tr2bl w:val="nil"/>
            </w:tcBorders>
            <w:vAlign w:val="center"/>
          </w:tcPr>
          <w:p>
            <w:pPr>
              <w:spacing w:line="240" w:lineRule="atLeast"/>
              <w:rPr>
                <w:rFonts w:ascii="宋体" w:cs="宋体"/>
                <w:color w:val="auto"/>
                <w:sz w:val="24"/>
                <w:szCs w:val="24"/>
                <w:highlight w:val="none"/>
              </w:rPr>
            </w:pPr>
            <w:r>
              <w:rPr>
                <w:rFonts w:hint="eastAsia" w:ascii="宋体" w:cs="宋体"/>
                <w:color w:val="auto"/>
                <w:kern w:val="0"/>
                <w:sz w:val="24"/>
                <w:szCs w:val="24"/>
                <w:highlight w:val="none"/>
              </w:rPr>
              <w:t>符合第二章“投标人须知前附表”第1.3.2项规定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849" w:type="dxa"/>
            <w:vMerge w:val="continue"/>
            <w:tcBorders>
              <w:tl2br w:val="nil"/>
              <w:tr2bl w:val="nil"/>
            </w:tcBorders>
            <w:vAlign w:val="center"/>
          </w:tcPr>
          <w:p>
            <w:pPr>
              <w:rPr>
                <w:color w:val="auto"/>
                <w:sz w:val="24"/>
                <w:szCs w:val="32"/>
                <w:highlight w:val="none"/>
              </w:rPr>
            </w:pPr>
          </w:p>
        </w:tc>
        <w:tc>
          <w:tcPr>
            <w:tcW w:w="631" w:type="dxa"/>
            <w:gridSpan w:val="2"/>
            <w:vMerge w:val="continue"/>
            <w:tcBorders>
              <w:tl2br w:val="nil"/>
              <w:tr2bl w:val="nil"/>
            </w:tcBorders>
            <w:vAlign w:val="center"/>
          </w:tcPr>
          <w:p>
            <w:pPr>
              <w:rPr>
                <w:color w:val="auto"/>
                <w:sz w:val="24"/>
                <w:szCs w:val="32"/>
                <w:highlight w:val="none"/>
              </w:rPr>
            </w:pPr>
          </w:p>
        </w:tc>
        <w:tc>
          <w:tcPr>
            <w:tcW w:w="3588" w:type="dxa"/>
            <w:gridSpan w:val="3"/>
            <w:tcBorders>
              <w:tl2br w:val="nil"/>
              <w:tr2bl w:val="nil"/>
            </w:tcBorders>
            <w:vAlign w:val="center"/>
          </w:tcPr>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质量要求</w:t>
            </w:r>
          </w:p>
        </w:tc>
        <w:tc>
          <w:tcPr>
            <w:tcW w:w="4813" w:type="dxa"/>
            <w:tcBorders>
              <w:tl2br w:val="nil"/>
              <w:tr2bl w:val="nil"/>
            </w:tcBorders>
            <w:vAlign w:val="center"/>
          </w:tcPr>
          <w:p>
            <w:pPr>
              <w:spacing w:line="240" w:lineRule="atLeast"/>
              <w:rPr>
                <w:rFonts w:ascii="宋体" w:cs="宋体"/>
                <w:color w:val="auto"/>
                <w:sz w:val="24"/>
                <w:szCs w:val="24"/>
                <w:highlight w:val="none"/>
              </w:rPr>
            </w:pPr>
            <w:r>
              <w:rPr>
                <w:rFonts w:hint="eastAsia" w:ascii="宋体" w:cs="宋体"/>
                <w:color w:val="auto"/>
                <w:kern w:val="0"/>
                <w:sz w:val="24"/>
                <w:szCs w:val="24"/>
                <w:highlight w:val="none"/>
              </w:rPr>
              <w:t>符合第二章“投标人须知前附表”第1.3.3项规定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849" w:type="dxa"/>
            <w:vMerge w:val="continue"/>
            <w:tcBorders>
              <w:tl2br w:val="nil"/>
              <w:tr2bl w:val="nil"/>
            </w:tcBorders>
            <w:vAlign w:val="center"/>
          </w:tcPr>
          <w:p>
            <w:pPr>
              <w:rPr>
                <w:color w:val="auto"/>
                <w:sz w:val="24"/>
                <w:szCs w:val="32"/>
                <w:highlight w:val="none"/>
              </w:rPr>
            </w:pPr>
          </w:p>
        </w:tc>
        <w:tc>
          <w:tcPr>
            <w:tcW w:w="631" w:type="dxa"/>
            <w:gridSpan w:val="2"/>
            <w:vMerge w:val="continue"/>
            <w:tcBorders>
              <w:tl2br w:val="nil"/>
              <w:tr2bl w:val="nil"/>
            </w:tcBorders>
            <w:vAlign w:val="center"/>
          </w:tcPr>
          <w:p>
            <w:pPr>
              <w:rPr>
                <w:color w:val="auto"/>
                <w:sz w:val="24"/>
                <w:szCs w:val="32"/>
                <w:highlight w:val="none"/>
              </w:rPr>
            </w:pPr>
          </w:p>
        </w:tc>
        <w:tc>
          <w:tcPr>
            <w:tcW w:w="3588" w:type="dxa"/>
            <w:gridSpan w:val="3"/>
            <w:tcBorders>
              <w:tl2br w:val="nil"/>
              <w:tr2bl w:val="nil"/>
            </w:tcBorders>
            <w:vAlign w:val="center"/>
          </w:tcPr>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投标有效期</w:t>
            </w:r>
          </w:p>
        </w:tc>
        <w:tc>
          <w:tcPr>
            <w:tcW w:w="4813" w:type="dxa"/>
            <w:tcBorders>
              <w:tl2br w:val="nil"/>
              <w:tr2bl w:val="nil"/>
            </w:tcBorders>
            <w:vAlign w:val="center"/>
          </w:tcPr>
          <w:p>
            <w:pPr>
              <w:spacing w:line="240" w:lineRule="atLeast"/>
              <w:rPr>
                <w:rFonts w:ascii="宋体" w:cs="宋体"/>
                <w:color w:val="auto"/>
                <w:sz w:val="24"/>
                <w:szCs w:val="24"/>
                <w:highlight w:val="none"/>
              </w:rPr>
            </w:pPr>
            <w:r>
              <w:rPr>
                <w:rFonts w:hint="eastAsia" w:ascii="宋体" w:cs="宋体"/>
                <w:color w:val="auto"/>
                <w:kern w:val="0"/>
                <w:sz w:val="24"/>
                <w:szCs w:val="24"/>
                <w:highlight w:val="none"/>
              </w:rPr>
              <w:t>符合第二章“投标人须知前附表”第3.3.1项规定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849" w:type="dxa"/>
            <w:vMerge w:val="continue"/>
            <w:tcBorders>
              <w:tl2br w:val="nil"/>
              <w:tr2bl w:val="nil"/>
            </w:tcBorders>
            <w:vAlign w:val="center"/>
          </w:tcPr>
          <w:p>
            <w:pPr>
              <w:rPr>
                <w:color w:val="auto"/>
                <w:sz w:val="24"/>
                <w:szCs w:val="32"/>
                <w:highlight w:val="none"/>
              </w:rPr>
            </w:pPr>
          </w:p>
        </w:tc>
        <w:tc>
          <w:tcPr>
            <w:tcW w:w="631" w:type="dxa"/>
            <w:gridSpan w:val="2"/>
            <w:vMerge w:val="continue"/>
            <w:tcBorders>
              <w:tl2br w:val="nil"/>
              <w:tr2bl w:val="nil"/>
            </w:tcBorders>
            <w:vAlign w:val="center"/>
          </w:tcPr>
          <w:p>
            <w:pPr>
              <w:rPr>
                <w:color w:val="auto"/>
                <w:sz w:val="24"/>
                <w:szCs w:val="32"/>
                <w:highlight w:val="none"/>
              </w:rPr>
            </w:pPr>
          </w:p>
        </w:tc>
        <w:tc>
          <w:tcPr>
            <w:tcW w:w="3588" w:type="dxa"/>
            <w:gridSpan w:val="3"/>
            <w:tcBorders>
              <w:tl2br w:val="nil"/>
              <w:tr2bl w:val="nil"/>
            </w:tcBorders>
            <w:vAlign w:val="center"/>
          </w:tcPr>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投标保证金</w:t>
            </w:r>
          </w:p>
        </w:tc>
        <w:tc>
          <w:tcPr>
            <w:tcW w:w="4813" w:type="dxa"/>
            <w:tcBorders>
              <w:tl2br w:val="nil"/>
              <w:tr2bl w:val="nil"/>
            </w:tcBorders>
            <w:vAlign w:val="center"/>
          </w:tcPr>
          <w:p>
            <w:pPr>
              <w:spacing w:line="240" w:lineRule="atLeast"/>
              <w:rPr>
                <w:rFonts w:ascii="宋体" w:cs="宋体"/>
                <w:color w:val="auto"/>
                <w:kern w:val="0"/>
                <w:sz w:val="24"/>
                <w:szCs w:val="24"/>
                <w:highlight w:val="none"/>
              </w:rPr>
            </w:pPr>
            <w:r>
              <w:rPr>
                <w:rFonts w:hint="eastAsia" w:ascii="宋体" w:cs="宋体"/>
                <w:color w:val="auto"/>
                <w:kern w:val="0"/>
                <w:sz w:val="24"/>
                <w:szCs w:val="24"/>
                <w:highlight w:val="none"/>
              </w:rPr>
              <w:t>符合第二章“投标人须知前附表”第3.4.1项规定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849" w:type="dxa"/>
            <w:vMerge w:val="continue"/>
            <w:tcBorders>
              <w:tl2br w:val="nil"/>
              <w:tr2bl w:val="nil"/>
            </w:tcBorders>
            <w:vAlign w:val="center"/>
          </w:tcPr>
          <w:p>
            <w:pPr>
              <w:rPr>
                <w:color w:val="auto"/>
                <w:sz w:val="24"/>
                <w:szCs w:val="32"/>
                <w:highlight w:val="none"/>
              </w:rPr>
            </w:pPr>
          </w:p>
        </w:tc>
        <w:tc>
          <w:tcPr>
            <w:tcW w:w="631" w:type="dxa"/>
            <w:gridSpan w:val="2"/>
            <w:vMerge w:val="continue"/>
            <w:tcBorders>
              <w:tl2br w:val="nil"/>
              <w:tr2bl w:val="nil"/>
            </w:tcBorders>
            <w:vAlign w:val="center"/>
          </w:tcPr>
          <w:p>
            <w:pPr>
              <w:rPr>
                <w:color w:val="auto"/>
                <w:sz w:val="24"/>
                <w:szCs w:val="32"/>
                <w:highlight w:val="none"/>
              </w:rPr>
            </w:pPr>
          </w:p>
        </w:tc>
        <w:tc>
          <w:tcPr>
            <w:tcW w:w="3588" w:type="dxa"/>
            <w:gridSpan w:val="3"/>
            <w:tcBorders>
              <w:tl2br w:val="nil"/>
              <w:tr2bl w:val="nil"/>
            </w:tcBorders>
            <w:vAlign w:val="center"/>
          </w:tcPr>
          <w:p>
            <w:pPr>
              <w:pStyle w:val="22"/>
              <w:spacing w:line="240" w:lineRule="atLeast"/>
              <w:jc w:val="center"/>
              <w:rPr>
                <w:rFonts w:ascii="宋体" w:eastAsia="宋体" w:cs="宋体"/>
                <w:color w:val="auto"/>
                <w:sz w:val="24"/>
                <w:szCs w:val="24"/>
                <w:highlight w:val="none"/>
              </w:rPr>
            </w:pPr>
            <w:r>
              <w:rPr>
                <w:rFonts w:hint="eastAsia" w:ascii="宋体" w:eastAsia="宋体" w:cs="宋体"/>
                <w:color w:val="auto"/>
                <w:sz w:val="24"/>
                <w:szCs w:val="24"/>
                <w:highlight w:val="none"/>
              </w:rPr>
              <w:t>已标价工程量清单</w:t>
            </w:r>
          </w:p>
        </w:tc>
        <w:tc>
          <w:tcPr>
            <w:tcW w:w="4813" w:type="dxa"/>
            <w:tcBorders>
              <w:tl2br w:val="nil"/>
              <w:tr2bl w:val="nil"/>
            </w:tcBorders>
            <w:vAlign w:val="center"/>
          </w:tcPr>
          <w:p>
            <w:pPr>
              <w:pStyle w:val="22"/>
              <w:spacing w:line="240" w:lineRule="atLeast"/>
              <w:jc w:val="both"/>
              <w:rPr>
                <w:rFonts w:ascii="宋体" w:eastAsia="宋体" w:cs="宋体"/>
                <w:color w:val="auto"/>
                <w:sz w:val="24"/>
                <w:szCs w:val="24"/>
                <w:highlight w:val="none"/>
              </w:rPr>
            </w:pPr>
            <w:r>
              <w:rPr>
                <w:rFonts w:hint="eastAsia" w:ascii="宋体" w:eastAsia="宋体" w:cs="宋体"/>
                <w:color w:val="auto"/>
                <w:sz w:val="24"/>
                <w:szCs w:val="24"/>
                <w:highlight w:val="none"/>
              </w:rPr>
              <w:t xml:space="preserve">符合第五章“工程量清单”给出的范围及数量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984" w:type="dxa"/>
            <w:gridSpan w:val="4"/>
            <w:tcBorders>
              <w:tl2br w:val="nil"/>
              <w:tr2bl w:val="nil"/>
            </w:tcBorders>
            <w:vAlign w:val="center"/>
          </w:tcPr>
          <w:p>
            <w:pPr>
              <w:adjustRightInd w:val="0"/>
              <w:jc w:val="center"/>
              <w:textAlignment w:val="baseline"/>
              <w:rPr>
                <w:rFonts w:ascii="宋体" w:cs="宋体"/>
                <w:color w:val="auto"/>
                <w:sz w:val="24"/>
                <w:szCs w:val="24"/>
                <w:highlight w:val="none"/>
              </w:rPr>
            </w:pPr>
            <w:r>
              <w:rPr>
                <w:rFonts w:hint="eastAsia" w:ascii="宋体" w:cs="宋体"/>
                <w:color w:val="auto"/>
                <w:sz w:val="24"/>
                <w:szCs w:val="24"/>
                <w:highlight w:val="none"/>
              </w:rPr>
              <w:t>条款号</w:t>
            </w:r>
          </w:p>
        </w:tc>
        <w:tc>
          <w:tcPr>
            <w:tcW w:w="2216" w:type="dxa"/>
            <w:tcBorders>
              <w:tl2br w:val="nil"/>
              <w:tr2bl w:val="nil"/>
            </w:tcBorders>
            <w:vAlign w:val="center"/>
          </w:tcPr>
          <w:p>
            <w:pPr>
              <w:adjustRightInd w:val="0"/>
              <w:jc w:val="center"/>
              <w:textAlignment w:val="baseline"/>
              <w:rPr>
                <w:rFonts w:ascii="宋体" w:cs="宋体"/>
                <w:color w:val="auto"/>
                <w:sz w:val="24"/>
                <w:szCs w:val="24"/>
                <w:highlight w:val="none"/>
              </w:rPr>
            </w:pPr>
            <w:r>
              <w:rPr>
                <w:rFonts w:hint="eastAsia" w:ascii="宋体" w:cs="宋体"/>
                <w:color w:val="auto"/>
                <w:sz w:val="24"/>
                <w:szCs w:val="24"/>
                <w:highlight w:val="none"/>
              </w:rPr>
              <w:t>条款内容</w:t>
            </w:r>
          </w:p>
        </w:tc>
        <w:tc>
          <w:tcPr>
            <w:tcW w:w="5681" w:type="dxa"/>
            <w:gridSpan w:val="2"/>
            <w:tcBorders>
              <w:tl2br w:val="nil"/>
              <w:tr2bl w:val="nil"/>
            </w:tcBorders>
            <w:vAlign w:val="center"/>
          </w:tcPr>
          <w:p>
            <w:pPr>
              <w:adjustRightInd w:val="0"/>
              <w:jc w:val="center"/>
              <w:textAlignment w:val="baseline"/>
              <w:rPr>
                <w:rFonts w:ascii="宋体" w:cs="宋体"/>
                <w:color w:val="auto"/>
                <w:sz w:val="24"/>
                <w:szCs w:val="24"/>
                <w:highlight w:val="none"/>
              </w:rPr>
            </w:pPr>
            <w:r>
              <w:rPr>
                <w:rFonts w:hint="eastAsia" w:ascii="宋体" w:cs="宋体"/>
                <w:color w:val="auto"/>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984" w:type="dxa"/>
            <w:gridSpan w:val="4"/>
            <w:tcBorders>
              <w:tl2br w:val="nil"/>
              <w:tr2bl w:val="nil"/>
            </w:tcBorders>
            <w:vAlign w:val="center"/>
          </w:tcPr>
          <w:p>
            <w:pPr>
              <w:adjustRightInd w:val="0"/>
              <w:jc w:val="center"/>
              <w:textAlignment w:val="baseline"/>
              <w:rPr>
                <w:rFonts w:ascii="宋体" w:cs="宋体"/>
                <w:color w:val="auto"/>
                <w:sz w:val="24"/>
                <w:szCs w:val="24"/>
                <w:highlight w:val="none"/>
              </w:rPr>
            </w:pPr>
            <w:r>
              <w:rPr>
                <w:rFonts w:hint="eastAsia" w:ascii="宋体" w:cs="宋体"/>
                <w:color w:val="auto"/>
                <w:sz w:val="24"/>
                <w:szCs w:val="24"/>
                <w:highlight w:val="none"/>
              </w:rPr>
              <w:t>2.2.1</w:t>
            </w:r>
          </w:p>
        </w:tc>
        <w:tc>
          <w:tcPr>
            <w:tcW w:w="2216" w:type="dxa"/>
            <w:tcBorders>
              <w:tl2br w:val="nil"/>
              <w:tr2bl w:val="nil"/>
            </w:tcBorders>
            <w:vAlign w:val="center"/>
          </w:tcPr>
          <w:p>
            <w:pPr>
              <w:autoSpaceDE w:val="0"/>
              <w:autoSpaceDN w:val="0"/>
              <w:adjustRightInd w:val="0"/>
              <w:spacing w:before="50"/>
              <w:ind w:right="97" w:firstLine="67" w:firstLineChars="28"/>
              <w:jc w:val="center"/>
              <w:rPr>
                <w:rFonts w:ascii="宋体" w:cs="宋体"/>
                <w:color w:val="auto"/>
                <w:spacing w:val="1"/>
                <w:kern w:val="0"/>
                <w:sz w:val="24"/>
                <w:szCs w:val="24"/>
                <w:highlight w:val="none"/>
              </w:rPr>
            </w:pPr>
            <w:r>
              <w:rPr>
                <w:rFonts w:hint="eastAsia" w:ascii="宋体" w:cs="宋体"/>
                <w:color w:val="auto"/>
                <w:spacing w:val="1"/>
                <w:kern w:val="0"/>
                <w:sz w:val="24"/>
                <w:szCs w:val="24"/>
                <w:highlight w:val="none"/>
              </w:rPr>
              <w:t>分值构成</w:t>
            </w:r>
          </w:p>
          <w:p>
            <w:pPr>
              <w:autoSpaceDE w:val="0"/>
              <w:autoSpaceDN w:val="0"/>
              <w:adjustRightInd w:val="0"/>
              <w:spacing w:before="50"/>
              <w:ind w:right="97" w:firstLine="67" w:firstLineChars="28"/>
              <w:jc w:val="center"/>
              <w:rPr>
                <w:rFonts w:ascii="宋体" w:cs="宋体"/>
                <w:color w:val="auto"/>
                <w:sz w:val="24"/>
                <w:szCs w:val="24"/>
                <w:highlight w:val="none"/>
              </w:rPr>
            </w:pPr>
            <w:r>
              <w:rPr>
                <w:rFonts w:hint="eastAsia" w:ascii="宋体" w:cs="宋体"/>
                <w:color w:val="auto"/>
                <w:spacing w:val="1"/>
                <w:kern w:val="0"/>
                <w:sz w:val="24"/>
                <w:szCs w:val="24"/>
                <w:highlight w:val="none"/>
              </w:rPr>
              <w:t>(总分100分)</w:t>
            </w:r>
          </w:p>
        </w:tc>
        <w:tc>
          <w:tcPr>
            <w:tcW w:w="5681" w:type="dxa"/>
            <w:gridSpan w:val="2"/>
            <w:tcBorders>
              <w:tl2br w:val="nil"/>
              <w:tr2bl w:val="nil"/>
            </w:tcBorders>
            <w:vAlign w:val="center"/>
          </w:tcPr>
          <w:p>
            <w:pPr>
              <w:autoSpaceDE w:val="0"/>
              <w:autoSpaceDN w:val="0"/>
              <w:adjustRightInd w:val="0"/>
              <w:spacing w:before="50" w:line="360" w:lineRule="exact"/>
              <w:ind w:right="97"/>
              <w:jc w:val="left"/>
              <w:rPr>
                <w:rFonts w:ascii="宋体" w:cs="宋体"/>
                <w:color w:val="auto"/>
                <w:spacing w:val="1"/>
                <w:kern w:val="0"/>
                <w:sz w:val="24"/>
                <w:szCs w:val="24"/>
                <w:highlight w:val="none"/>
              </w:rPr>
            </w:pPr>
            <w:r>
              <w:rPr>
                <w:rFonts w:hint="eastAsia" w:ascii="宋体" w:cs="宋体"/>
                <w:color w:val="auto"/>
                <w:spacing w:val="1"/>
                <w:kern w:val="0"/>
                <w:sz w:val="24"/>
                <w:szCs w:val="24"/>
                <w:highlight w:val="none"/>
              </w:rPr>
              <w:t>1.技术标：</w:t>
            </w:r>
            <w:r>
              <w:rPr>
                <w:rFonts w:hint="eastAsia" w:ascii="宋体" w:cs="宋体"/>
                <w:color w:val="auto"/>
                <w:spacing w:val="1"/>
                <w:kern w:val="0"/>
                <w:sz w:val="24"/>
                <w:szCs w:val="24"/>
                <w:highlight w:val="none"/>
                <w:lang w:val="en-US" w:eastAsia="zh-CN"/>
              </w:rPr>
              <w:t>30</w:t>
            </w:r>
            <w:r>
              <w:rPr>
                <w:rFonts w:ascii="宋体" w:cs="宋体"/>
                <w:color w:val="auto"/>
                <w:spacing w:val="1"/>
                <w:kern w:val="0"/>
                <w:sz w:val="24"/>
                <w:szCs w:val="24"/>
                <w:highlight w:val="none"/>
              </w:rPr>
              <w:t>分</w:t>
            </w:r>
          </w:p>
          <w:p>
            <w:pPr>
              <w:autoSpaceDE w:val="0"/>
              <w:autoSpaceDN w:val="0"/>
              <w:adjustRightInd w:val="0"/>
              <w:spacing w:before="50" w:line="360" w:lineRule="exact"/>
              <w:ind w:right="97"/>
              <w:jc w:val="left"/>
              <w:rPr>
                <w:rFonts w:ascii="宋体" w:cs="宋体"/>
                <w:color w:val="auto"/>
                <w:spacing w:val="1"/>
                <w:kern w:val="0"/>
                <w:sz w:val="24"/>
                <w:szCs w:val="24"/>
                <w:highlight w:val="none"/>
              </w:rPr>
            </w:pPr>
            <w:r>
              <w:rPr>
                <w:rFonts w:hint="eastAsia" w:ascii="宋体" w:cs="宋体"/>
                <w:color w:val="auto"/>
                <w:spacing w:val="1"/>
                <w:kern w:val="0"/>
                <w:sz w:val="24"/>
                <w:szCs w:val="24"/>
                <w:highlight w:val="none"/>
              </w:rPr>
              <w:t>2.商务标：</w:t>
            </w:r>
            <w:r>
              <w:rPr>
                <w:rFonts w:hint="eastAsia" w:ascii="宋体" w:cs="宋体"/>
                <w:color w:val="auto"/>
                <w:spacing w:val="1"/>
                <w:kern w:val="0"/>
                <w:sz w:val="24"/>
                <w:szCs w:val="24"/>
                <w:highlight w:val="none"/>
                <w:lang w:val="en-US" w:eastAsia="zh-CN"/>
              </w:rPr>
              <w:t>50</w:t>
            </w:r>
            <w:r>
              <w:rPr>
                <w:rFonts w:ascii="宋体" w:cs="宋体"/>
                <w:color w:val="auto"/>
                <w:spacing w:val="1"/>
                <w:kern w:val="0"/>
                <w:sz w:val="24"/>
                <w:szCs w:val="24"/>
                <w:highlight w:val="none"/>
              </w:rPr>
              <w:t>分</w:t>
            </w:r>
          </w:p>
          <w:p>
            <w:pPr>
              <w:autoSpaceDE w:val="0"/>
              <w:autoSpaceDN w:val="0"/>
              <w:adjustRightInd w:val="0"/>
              <w:spacing w:before="50" w:line="360" w:lineRule="exact"/>
              <w:ind w:right="97"/>
              <w:jc w:val="left"/>
              <w:rPr>
                <w:rFonts w:ascii="宋体" w:cs="宋体"/>
                <w:color w:val="auto"/>
                <w:sz w:val="24"/>
                <w:szCs w:val="24"/>
                <w:highlight w:val="none"/>
              </w:rPr>
            </w:pPr>
            <w:r>
              <w:rPr>
                <w:rFonts w:hint="eastAsia" w:ascii="宋体" w:cs="宋体"/>
                <w:color w:val="auto"/>
                <w:sz w:val="24"/>
                <w:szCs w:val="24"/>
                <w:highlight w:val="none"/>
              </w:rPr>
              <w:t>3.综合标：</w:t>
            </w:r>
            <w:r>
              <w:rPr>
                <w:rFonts w:hint="eastAsia" w:ascii="宋体" w:cs="宋体"/>
                <w:color w:val="auto"/>
                <w:sz w:val="24"/>
                <w:szCs w:val="24"/>
                <w:highlight w:val="none"/>
                <w:lang w:val="en-US" w:eastAsia="zh-CN"/>
              </w:rPr>
              <w:t>20</w:t>
            </w:r>
            <w:r>
              <w:rPr>
                <w:rFonts w:ascii="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jc w:val="center"/>
        </w:trPr>
        <w:tc>
          <w:tcPr>
            <w:tcW w:w="1984" w:type="dxa"/>
            <w:gridSpan w:val="4"/>
            <w:vMerge w:val="restart"/>
            <w:tcBorders>
              <w:tl2br w:val="nil"/>
              <w:tr2bl w:val="nil"/>
            </w:tcBorders>
            <w:vAlign w:val="center"/>
          </w:tcPr>
          <w:p>
            <w:pPr>
              <w:adjustRightInd w:val="0"/>
              <w:jc w:val="center"/>
              <w:textAlignment w:val="baseline"/>
              <w:rPr>
                <w:rFonts w:ascii="宋体" w:cs="宋体"/>
                <w:color w:val="auto"/>
                <w:sz w:val="24"/>
                <w:szCs w:val="24"/>
                <w:highlight w:val="none"/>
              </w:rPr>
            </w:pPr>
            <w:r>
              <w:rPr>
                <w:rFonts w:hint="eastAsia" w:ascii="宋体" w:cs="宋体"/>
                <w:color w:val="auto"/>
                <w:sz w:val="24"/>
                <w:szCs w:val="24"/>
                <w:highlight w:val="none"/>
              </w:rPr>
              <w:t>2.2.2</w:t>
            </w:r>
          </w:p>
        </w:tc>
        <w:tc>
          <w:tcPr>
            <w:tcW w:w="2216" w:type="dxa"/>
            <w:vMerge w:val="restart"/>
            <w:tcBorders>
              <w:tl2br w:val="nil"/>
              <w:tr2bl w:val="nil"/>
            </w:tcBorders>
            <w:vAlign w:val="center"/>
          </w:tcPr>
          <w:p>
            <w:pPr>
              <w:adjustRightInd w:val="0"/>
              <w:jc w:val="center"/>
              <w:textAlignment w:val="baseline"/>
              <w:rPr>
                <w:rFonts w:ascii="宋体" w:cs="宋体"/>
                <w:color w:val="auto"/>
                <w:sz w:val="24"/>
                <w:szCs w:val="24"/>
                <w:highlight w:val="none"/>
              </w:rPr>
            </w:pPr>
            <w:r>
              <w:rPr>
                <w:rFonts w:hint="eastAsia" w:ascii="宋体" w:cs="宋体"/>
                <w:color w:val="auto"/>
                <w:sz w:val="24"/>
                <w:szCs w:val="24"/>
                <w:highlight w:val="none"/>
              </w:rPr>
              <w:t>评标基准价计算方法</w:t>
            </w:r>
          </w:p>
        </w:tc>
        <w:tc>
          <w:tcPr>
            <w:tcW w:w="5681" w:type="dxa"/>
            <w:gridSpan w:val="2"/>
            <w:tcBorders>
              <w:tl2br w:val="nil"/>
              <w:tr2bl w:val="nil"/>
            </w:tcBorders>
            <w:vAlign w:val="center"/>
          </w:tcPr>
          <w:p>
            <w:pPr>
              <w:ind w:firstLine="726" w:firstLineChars="300"/>
              <w:rPr>
                <w:rFonts w:ascii="宋体" w:cs="宋体"/>
                <w:color w:val="auto"/>
                <w:spacing w:val="1"/>
                <w:kern w:val="0"/>
                <w:sz w:val="24"/>
                <w:szCs w:val="24"/>
                <w:highlight w:val="none"/>
              </w:rPr>
            </w:pPr>
            <w:r>
              <w:rPr>
                <w:rFonts w:hint="eastAsia" w:ascii="宋体" w:cs="宋体"/>
                <w:color w:val="auto"/>
                <w:spacing w:val="1"/>
                <w:kern w:val="0"/>
                <w:sz w:val="24"/>
                <w:szCs w:val="24"/>
                <w:highlight w:val="none"/>
              </w:rPr>
              <w:t>有效投标人：是指通过初步评审的投标人</w:t>
            </w:r>
          </w:p>
          <w:p>
            <w:pPr>
              <w:ind w:firstLine="484" w:firstLineChars="200"/>
              <w:rPr>
                <w:rFonts w:ascii="宋体" w:cs="宋体"/>
                <w:color w:val="auto"/>
                <w:spacing w:val="1"/>
                <w:kern w:val="0"/>
                <w:sz w:val="24"/>
                <w:szCs w:val="24"/>
                <w:highlight w:val="none"/>
              </w:rPr>
            </w:pPr>
            <w:r>
              <w:rPr>
                <w:rFonts w:hint="eastAsia" w:ascii="宋体" w:cs="宋体"/>
                <w:color w:val="auto"/>
                <w:spacing w:val="1"/>
                <w:kern w:val="0"/>
                <w:sz w:val="24"/>
                <w:szCs w:val="24"/>
                <w:highlight w:val="none"/>
              </w:rPr>
              <w:t xml:space="preserve"> 评标基准价计算方法:评标基准价＝招标控制价×K+投标报价×（1－K）</w:t>
            </w:r>
          </w:p>
          <w:p>
            <w:pPr>
              <w:ind w:firstLine="484" w:firstLineChars="200"/>
              <w:rPr>
                <w:rFonts w:ascii="宋体" w:cs="宋体"/>
                <w:color w:val="auto"/>
                <w:sz w:val="24"/>
                <w:szCs w:val="24"/>
                <w:highlight w:val="none"/>
              </w:rPr>
            </w:pPr>
            <w:r>
              <w:rPr>
                <w:rFonts w:hint="eastAsia" w:ascii="宋体" w:cs="宋体"/>
                <w:color w:val="auto"/>
                <w:spacing w:val="1"/>
                <w:kern w:val="0"/>
                <w:sz w:val="24"/>
                <w:szCs w:val="24"/>
                <w:highlight w:val="none"/>
              </w:rPr>
              <w:t>其中：K为招标控制价权重系数，K从0.3、0.35、0.4、0.45、0.5中在</w:t>
            </w:r>
            <w:r>
              <w:rPr>
                <w:rFonts w:hint="eastAsia" w:ascii="宋体" w:cs="宋体"/>
                <w:color w:val="auto"/>
                <w:spacing w:val="1"/>
                <w:kern w:val="0"/>
                <w:sz w:val="24"/>
                <w:szCs w:val="24"/>
                <w:highlight w:val="none"/>
                <w:lang w:eastAsia="zh-CN"/>
              </w:rPr>
              <w:t>交易系统中</w:t>
            </w:r>
            <w:r>
              <w:rPr>
                <w:rFonts w:hint="eastAsia" w:ascii="宋体" w:cs="宋体"/>
                <w:color w:val="auto"/>
                <w:spacing w:val="1"/>
                <w:kern w:val="0"/>
                <w:sz w:val="24"/>
                <w:szCs w:val="24"/>
                <w:highlight w:val="none"/>
              </w:rPr>
              <w:t>随机抽取。投标报价为各投标人有效投标报价去掉一个最高和 一个最低报价后的算术平均值。当有效投标少于 5 家时（不含 5 家），则以所有有效投标报价的算术平均值作为投标报价。上述招标控制价、投标报价、有效投标报价在参与评标基准价计算时，均不含:规费、</w:t>
            </w:r>
            <w:r>
              <w:rPr>
                <w:rFonts w:hint="eastAsia" w:ascii="宋体" w:cs="宋体"/>
                <w:color w:val="auto"/>
                <w:spacing w:val="1"/>
                <w:kern w:val="0"/>
                <w:sz w:val="24"/>
                <w:szCs w:val="24"/>
                <w:highlight w:val="none"/>
                <w:lang w:eastAsia="zh-CN"/>
              </w:rPr>
              <w:t>安全文明施工费</w:t>
            </w:r>
            <w:r>
              <w:rPr>
                <w:rFonts w:hint="eastAsia" w:ascii="宋体" w:cs="宋体"/>
                <w:color w:val="auto"/>
                <w:spacing w:val="1"/>
                <w:kern w:val="0"/>
                <w:sz w:val="24"/>
                <w:szCs w:val="24"/>
                <w:highlight w:val="none"/>
              </w:rPr>
              <w:t>、专业暂估价、增值税。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984" w:type="dxa"/>
            <w:gridSpan w:val="4"/>
            <w:vMerge w:val="continue"/>
            <w:tcBorders>
              <w:tl2br w:val="nil"/>
              <w:tr2bl w:val="nil"/>
            </w:tcBorders>
            <w:vAlign w:val="center"/>
          </w:tcPr>
          <w:p>
            <w:pPr>
              <w:rPr>
                <w:color w:val="auto"/>
                <w:sz w:val="24"/>
                <w:szCs w:val="32"/>
                <w:highlight w:val="none"/>
              </w:rPr>
            </w:pPr>
          </w:p>
        </w:tc>
        <w:tc>
          <w:tcPr>
            <w:tcW w:w="2216" w:type="dxa"/>
            <w:vMerge w:val="continue"/>
            <w:tcBorders>
              <w:tl2br w:val="nil"/>
              <w:tr2bl w:val="nil"/>
            </w:tcBorders>
            <w:vAlign w:val="center"/>
          </w:tcPr>
          <w:p>
            <w:pPr>
              <w:rPr>
                <w:color w:val="auto"/>
                <w:sz w:val="24"/>
                <w:szCs w:val="32"/>
                <w:highlight w:val="none"/>
              </w:rPr>
            </w:pPr>
          </w:p>
        </w:tc>
        <w:tc>
          <w:tcPr>
            <w:tcW w:w="5681" w:type="dxa"/>
            <w:gridSpan w:val="2"/>
            <w:tcBorders>
              <w:tl2br w:val="nil"/>
              <w:tr2bl w:val="nil"/>
            </w:tcBorders>
            <w:vAlign w:val="center"/>
          </w:tcPr>
          <w:p>
            <w:pPr>
              <w:pStyle w:val="25"/>
              <w:ind w:firstLine="482" w:firstLineChars="200"/>
              <w:rPr>
                <w:rFonts w:ascii="宋体" w:cs="宋体"/>
                <w:color w:val="auto"/>
                <w:sz w:val="24"/>
                <w:szCs w:val="24"/>
                <w:highlight w:val="none"/>
              </w:rPr>
            </w:pPr>
            <w:r>
              <w:rPr>
                <w:rFonts w:hint="eastAsia" w:ascii="宋体" w:cs="宋体"/>
                <w:b/>
                <w:bCs/>
                <w:color w:val="auto"/>
                <w:sz w:val="24"/>
                <w:szCs w:val="24"/>
                <w:highlight w:val="none"/>
              </w:rPr>
              <w:t>注：经评标委员会全体认定属于恶意投标报价的，其投标将作为无效标处理。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984" w:type="dxa"/>
            <w:gridSpan w:val="4"/>
            <w:tcBorders>
              <w:tl2br w:val="nil"/>
              <w:tr2bl w:val="nil"/>
            </w:tcBorders>
            <w:vAlign w:val="center"/>
          </w:tcPr>
          <w:p>
            <w:pPr>
              <w:adjustRightInd w:val="0"/>
              <w:jc w:val="center"/>
              <w:textAlignment w:val="baseline"/>
              <w:rPr>
                <w:rFonts w:ascii="宋体" w:cs="宋体"/>
                <w:color w:val="auto"/>
                <w:sz w:val="24"/>
                <w:szCs w:val="24"/>
                <w:highlight w:val="none"/>
              </w:rPr>
            </w:pPr>
            <w:r>
              <w:rPr>
                <w:rFonts w:hint="eastAsia" w:ascii="宋体" w:cs="宋体"/>
                <w:color w:val="auto"/>
                <w:sz w:val="24"/>
                <w:szCs w:val="24"/>
                <w:highlight w:val="none"/>
              </w:rPr>
              <w:t>2.2.3</w:t>
            </w:r>
          </w:p>
        </w:tc>
        <w:tc>
          <w:tcPr>
            <w:tcW w:w="2216" w:type="dxa"/>
            <w:tcBorders>
              <w:tl2br w:val="nil"/>
              <w:tr2bl w:val="nil"/>
            </w:tcBorders>
            <w:vAlign w:val="center"/>
          </w:tcPr>
          <w:p>
            <w:pPr>
              <w:adjustRightInd w:val="0"/>
              <w:textAlignment w:val="baseline"/>
              <w:rPr>
                <w:rFonts w:ascii="宋体" w:cs="宋体"/>
                <w:color w:val="auto"/>
                <w:sz w:val="24"/>
                <w:szCs w:val="24"/>
                <w:highlight w:val="none"/>
              </w:rPr>
            </w:pPr>
            <w:r>
              <w:rPr>
                <w:rFonts w:hint="eastAsia" w:ascii="宋体" w:cs="宋体"/>
                <w:color w:val="auto"/>
                <w:sz w:val="24"/>
                <w:szCs w:val="24"/>
                <w:highlight w:val="none"/>
              </w:rPr>
              <w:t>投标报价的偏差率</w:t>
            </w:r>
          </w:p>
          <w:p>
            <w:pPr>
              <w:adjustRightInd w:val="0"/>
              <w:jc w:val="center"/>
              <w:textAlignment w:val="baseline"/>
              <w:rPr>
                <w:rFonts w:ascii="宋体" w:cs="宋体"/>
                <w:color w:val="auto"/>
                <w:sz w:val="24"/>
                <w:szCs w:val="24"/>
                <w:highlight w:val="none"/>
              </w:rPr>
            </w:pPr>
            <w:r>
              <w:rPr>
                <w:rFonts w:hint="eastAsia" w:ascii="宋体" w:cs="宋体"/>
                <w:color w:val="auto"/>
                <w:sz w:val="24"/>
                <w:szCs w:val="24"/>
                <w:highlight w:val="none"/>
              </w:rPr>
              <w:t>计算公式</w:t>
            </w:r>
          </w:p>
        </w:tc>
        <w:tc>
          <w:tcPr>
            <w:tcW w:w="5681" w:type="dxa"/>
            <w:gridSpan w:val="2"/>
            <w:tcBorders>
              <w:tl2br w:val="nil"/>
              <w:tr2bl w:val="nil"/>
            </w:tcBorders>
            <w:vAlign w:val="center"/>
          </w:tcPr>
          <w:p>
            <w:pPr>
              <w:autoSpaceDE w:val="0"/>
              <w:autoSpaceDN w:val="0"/>
              <w:adjustRightInd w:val="0"/>
              <w:snapToGrid w:val="0"/>
              <w:spacing w:before="50"/>
              <w:ind w:right="96" w:firstLine="484" w:firstLineChars="200"/>
              <w:jc w:val="left"/>
              <w:rPr>
                <w:rFonts w:ascii="宋体" w:cs="宋体"/>
                <w:color w:val="auto"/>
                <w:spacing w:val="1"/>
                <w:kern w:val="0"/>
                <w:sz w:val="24"/>
                <w:szCs w:val="24"/>
                <w:highlight w:val="none"/>
              </w:rPr>
            </w:pPr>
            <w:r>
              <w:rPr>
                <w:rFonts w:hint="eastAsia" w:ascii="宋体" w:cs="宋体"/>
                <w:color w:val="auto"/>
                <w:spacing w:val="1"/>
                <w:kern w:val="0"/>
                <w:sz w:val="24"/>
                <w:szCs w:val="24"/>
                <w:highlight w:val="none"/>
              </w:rPr>
              <w:t>偏差率=100% ×（投标报价-评标基准价）/评标基准价</w:t>
            </w:r>
          </w:p>
          <w:p>
            <w:pPr>
              <w:autoSpaceDE w:val="0"/>
              <w:autoSpaceDN w:val="0"/>
              <w:adjustRightInd w:val="0"/>
              <w:snapToGrid w:val="0"/>
              <w:spacing w:before="50"/>
              <w:ind w:right="96" w:firstLine="484" w:firstLineChars="200"/>
              <w:jc w:val="left"/>
              <w:rPr>
                <w:rFonts w:ascii="宋体" w:cs="宋体"/>
                <w:color w:val="auto"/>
                <w:sz w:val="24"/>
                <w:szCs w:val="24"/>
                <w:highlight w:val="none"/>
              </w:rPr>
            </w:pPr>
            <w:r>
              <w:rPr>
                <w:rFonts w:hint="eastAsia" w:ascii="宋体" w:cs="宋体"/>
                <w:color w:val="auto"/>
                <w:spacing w:val="1"/>
                <w:kern w:val="0"/>
                <w:sz w:val="24"/>
                <w:szCs w:val="24"/>
                <w:highlight w:val="none"/>
              </w:rPr>
              <w:t>注：投标报价均不含:规费、</w:t>
            </w:r>
            <w:r>
              <w:rPr>
                <w:rFonts w:hint="eastAsia" w:ascii="宋体" w:cs="宋体"/>
                <w:color w:val="auto"/>
                <w:spacing w:val="1"/>
                <w:kern w:val="0"/>
                <w:sz w:val="24"/>
                <w:szCs w:val="24"/>
                <w:highlight w:val="none"/>
                <w:lang w:eastAsia="zh-CN"/>
              </w:rPr>
              <w:t>安全文明施工费</w:t>
            </w:r>
            <w:r>
              <w:rPr>
                <w:rFonts w:hint="eastAsia" w:ascii="宋体" w:cs="宋体"/>
                <w:color w:val="auto"/>
                <w:spacing w:val="1"/>
                <w:kern w:val="0"/>
                <w:sz w:val="24"/>
                <w:szCs w:val="24"/>
                <w:highlight w:val="none"/>
              </w:rPr>
              <w:t>、专业暂估价、增值税。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68" w:type="dxa"/>
            <w:gridSpan w:val="2"/>
            <w:vMerge w:val="restart"/>
            <w:tcBorders>
              <w:tl2br w:val="nil"/>
              <w:tr2bl w:val="nil"/>
            </w:tcBorders>
            <w:vAlign w:val="center"/>
          </w:tcPr>
          <w:p>
            <w:pPr>
              <w:adjustRightInd w:val="0"/>
              <w:spacing w:line="360" w:lineRule="auto"/>
              <w:jc w:val="center"/>
              <w:textAlignment w:val="baseline"/>
              <w:rPr>
                <w:rFonts w:ascii="宋体" w:cs="宋体"/>
                <w:color w:val="auto"/>
                <w:sz w:val="24"/>
                <w:szCs w:val="24"/>
                <w:highlight w:val="none"/>
              </w:rPr>
            </w:pPr>
            <w:r>
              <w:rPr>
                <w:rFonts w:hint="eastAsia" w:ascii="宋体" w:cs="宋体"/>
                <w:color w:val="auto"/>
                <w:sz w:val="24"/>
                <w:szCs w:val="24"/>
                <w:highlight w:val="none"/>
              </w:rPr>
              <w:t>2.2.4</w:t>
            </w:r>
          </w:p>
          <w:p>
            <w:pPr>
              <w:adjustRightInd w:val="0"/>
              <w:spacing w:line="360" w:lineRule="auto"/>
              <w:jc w:val="center"/>
              <w:textAlignment w:val="baseline"/>
              <w:rPr>
                <w:rFonts w:ascii="宋体" w:cs="宋体"/>
                <w:color w:val="auto"/>
                <w:sz w:val="24"/>
                <w:szCs w:val="24"/>
                <w:highlight w:val="none"/>
              </w:rPr>
            </w:pPr>
            <w:r>
              <w:rPr>
                <w:rFonts w:hint="eastAsia" w:ascii="宋体" w:cs="宋体"/>
                <w:color w:val="auto"/>
                <w:sz w:val="24"/>
                <w:szCs w:val="24"/>
                <w:highlight w:val="none"/>
              </w:rPr>
              <w:t>(1)</w:t>
            </w:r>
          </w:p>
        </w:tc>
        <w:tc>
          <w:tcPr>
            <w:tcW w:w="1116" w:type="dxa"/>
            <w:gridSpan w:val="2"/>
            <w:vMerge w:val="restart"/>
            <w:tcBorders>
              <w:tl2br w:val="nil"/>
              <w:tr2bl w:val="nil"/>
            </w:tcBorders>
            <w:vAlign w:val="center"/>
          </w:tcPr>
          <w:p>
            <w:pPr>
              <w:jc w:val="left"/>
              <w:rPr>
                <w:color w:val="auto"/>
                <w:sz w:val="24"/>
                <w:szCs w:val="32"/>
                <w:highlight w:val="none"/>
              </w:rPr>
            </w:pPr>
            <w:r>
              <w:rPr>
                <w:rFonts w:hint="eastAsia"/>
                <w:color w:val="auto"/>
                <w:sz w:val="24"/>
                <w:szCs w:val="32"/>
                <w:highlight w:val="none"/>
              </w:rPr>
              <w:t>技术标</w:t>
            </w:r>
            <w:r>
              <w:rPr>
                <w:rFonts w:hint="eastAsia" w:ascii="宋体" w:hAnsi="宋体"/>
                <w:sz w:val="24"/>
                <w:szCs w:val="24"/>
                <w:highlight w:val="none"/>
              </w:rPr>
              <w:t>（施工组织设计）</w:t>
            </w:r>
            <w:r>
              <w:rPr>
                <w:rFonts w:hint="eastAsia"/>
                <w:color w:val="auto"/>
                <w:sz w:val="24"/>
                <w:szCs w:val="32"/>
                <w:highlight w:val="none"/>
              </w:rPr>
              <w:t>：</w:t>
            </w:r>
            <w:r>
              <w:rPr>
                <w:rFonts w:hint="eastAsia"/>
                <w:color w:val="auto"/>
                <w:sz w:val="24"/>
                <w:szCs w:val="32"/>
                <w:highlight w:val="none"/>
                <w:lang w:val="en-US" w:eastAsia="zh-CN"/>
              </w:rPr>
              <w:t>30</w:t>
            </w:r>
            <w:r>
              <w:rPr>
                <w:color w:val="auto"/>
                <w:sz w:val="24"/>
                <w:szCs w:val="32"/>
                <w:highlight w:val="none"/>
              </w:rPr>
              <w:t>分</w:t>
            </w:r>
            <w:r>
              <w:rPr>
                <w:rFonts w:hint="eastAsia" w:ascii="宋体" w:hAnsi="宋体"/>
                <w:sz w:val="24"/>
                <w:szCs w:val="24"/>
                <w:highlight w:val="none"/>
              </w:rPr>
              <w:t>，缺项得0分，不缺项的，不低于最低分。</w:t>
            </w:r>
          </w:p>
          <w:p>
            <w:pPr>
              <w:rPr>
                <w:color w:val="auto"/>
                <w:sz w:val="24"/>
                <w:szCs w:val="32"/>
                <w:highlight w:val="none"/>
              </w:rPr>
            </w:pPr>
          </w:p>
        </w:tc>
        <w:tc>
          <w:tcPr>
            <w:tcW w:w="2216" w:type="dxa"/>
            <w:vMerge w:val="restart"/>
            <w:tcBorders>
              <w:tl2br w:val="nil"/>
              <w:tr2bl w:val="nil"/>
            </w:tcBorders>
            <w:vAlign w:val="center"/>
          </w:tcPr>
          <w:p>
            <w:pPr>
              <w:adjustRightInd w:val="0"/>
              <w:jc w:val="center"/>
              <w:textAlignment w:val="baseline"/>
              <w:rPr>
                <w:rFonts w:ascii="宋体" w:cs="宋体"/>
                <w:color w:val="auto"/>
                <w:sz w:val="24"/>
                <w:szCs w:val="24"/>
                <w:highlight w:val="none"/>
              </w:rPr>
            </w:pPr>
            <w:r>
              <w:rPr>
                <w:rFonts w:hint="eastAsia" w:ascii="宋体" w:cs="宋体"/>
                <w:color w:val="auto"/>
                <w:sz w:val="24"/>
                <w:szCs w:val="24"/>
                <w:highlight w:val="none"/>
              </w:rPr>
              <w:t>内容完整性</w:t>
            </w:r>
          </w:p>
          <w:p>
            <w:pPr>
              <w:adjustRightInd w:val="0"/>
              <w:jc w:val="center"/>
              <w:textAlignment w:val="baseline"/>
              <w:rPr>
                <w:rFonts w:ascii="宋体" w:cs="宋体"/>
                <w:color w:val="auto"/>
                <w:sz w:val="24"/>
                <w:szCs w:val="24"/>
                <w:highlight w:val="none"/>
              </w:rPr>
            </w:pPr>
            <w:r>
              <w:rPr>
                <w:rFonts w:hint="eastAsia" w:ascii="宋体" w:cs="宋体"/>
                <w:color w:val="auto"/>
                <w:sz w:val="24"/>
                <w:szCs w:val="24"/>
                <w:highlight w:val="none"/>
              </w:rPr>
              <w:t>（</w:t>
            </w:r>
            <w:r>
              <w:rPr>
                <w:rFonts w:hint="eastAsia" w:ascii="宋体" w:cs="宋体"/>
                <w:color w:val="auto"/>
                <w:sz w:val="24"/>
                <w:szCs w:val="24"/>
                <w:highlight w:val="none"/>
                <w:lang w:val="en-US" w:eastAsia="zh-CN"/>
              </w:rPr>
              <w:t>0-1</w:t>
            </w:r>
            <w:r>
              <w:rPr>
                <w:rFonts w:hint="eastAsia" w:ascii="宋体" w:cs="宋体"/>
                <w:color w:val="auto"/>
                <w:sz w:val="24"/>
                <w:szCs w:val="24"/>
                <w:highlight w:val="none"/>
              </w:rPr>
              <w:t>分）</w:t>
            </w:r>
          </w:p>
        </w:tc>
        <w:tc>
          <w:tcPr>
            <w:tcW w:w="5681" w:type="dxa"/>
            <w:gridSpan w:val="2"/>
            <w:tcBorders>
              <w:tl2br w:val="nil"/>
              <w:tr2bl w:val="nil"/>
            </w:tcBorders>
            <w:vAlign w:val="center"/>
          </w:tcPr>
          <w:p>
            <w:pPr>
              <w:autoSpaceDE w:val="0"/>
              <w:autoSpaceDN w:val="0"/>
              <w:adjustRightInd w:val="0"/>
              <w:ind w:firstLine="480" w:firstLineChars="200"/>
              <w:rPr>
                <w:rFonts w:ascii="宋体" w:cs="宋体"/>
                <w:color w:val="auto"/>
                <w:sz w:val="24"/>
                <w:szCs w:val="24"/>
                <w:highlight w:val="none"/>
              </w:rPr>
            </w:pPr>
            <w:r>
              <w:rPr>
                <w:rFonts w:hint="eastAsia" w:ascii="宋体" w:cs="宋体"/>
                <w:color w:val="auto"/>
                <w:sz w:val="24"/>
                <w:szCs w:val="24"/>
                <w:highlight w:val="none"/>
              </w:rPr>
              <w:t>技术标的主要内容具有完整性，符合招标文件的要求。（</w:t>
            </w:r>
            <w:r>
              <w:rPr>
                <w:rFonts w:hint="eastAsia" w:ascii="宋体" w:cs="宋体"/>
                <w:color w:val="auto"/>
                <w:sz w:val="24"/>
                <w:szCs w:val="24"/>
                <w:highlight w:val="none"/>
                <w:lang w:val="en-US" w:eastAsia="zh-CN"/>
              </w:rPr>
              <w:t>1</w:t>
            </w:r>
            <w:r>
              <w:rPr>
                <w:rFonts w:hint="eastAsia" w:ascii="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68" w:type="dxa"/>
            <w:gridSpan w:val="2"/>
            <w:vMerge w:val="continue"/>
            <w:tcBorders>
              <w:tl2br w:val="nil"/>
              <w:tr2bl w:val="nil"/>
            </w:tcBorders>
            <w:vAlign w:val="center"/>
          </w:tcPr>
          <w:p>
            <w:pPr>
              <w:rPr>
                <w:color w:val="auto"/>
                <w:sz w:val="24"/>
                <w:szCs w:val="32"/>
                <w:highlight w:val="none"/>
              </w:rPr>
            </w:pPr>
          </w:p>
        </w:tc>
        <w:tc>
          <w:tcPr>
            <w:tcW w:w="1116" w:type="dxa"/>
            <w:gridSpan w:val="2"/>
            <w:vMerge w:val="continue"/>
            <w:tcBorders>
              <w:tl2br w:val="nil"/>
              <w:tr2bl w:val="nil"/>
            </w:tcBorders>
            <w:vAlign w:val="center"/>
          </w:tcPr>
          <w:p>
            <w:pPr>
              <w:rPr>
                <w:color w:val="auto"/>
                <w:sz w:val="24"/>
                <w:szCs w:val="32"/>
                <w:highlight w:val="none"/>
              </w:rPr>
            </w:pPr>
          </w:p>
        </w:tc>
        <w:tc>
          <w:tcPr>
            <w:tcW w:w="2216" w:type="dxa"/>
            <w:vMerge w:val="continue"/>
            <w:tcBorders>
              <w:tl2br w:val="nil"/>
              <w:tr2bl w:val="nil"/>
            </w:tcBorders>
            <w:vAlign w:val="center"/>
          </w:tcPr>
          <w:p>
            <w:pPr>
              <w:rPr>
                <w:color w:val="auto"/>
                <w:sz w:val="24"/>
                <w:szCs w:val="32"/>
                <w:highlight w:val="none"/>
              </w:rPr>
            </w:pPr>
          </w:p>
        </w:tc>
        <w:tc>
          <w:tcPr>
            <w:tcW w:w="5681" w:type="dxa"/>
            <w:gridSpan w:val="2"/>
            <w:tcBorders>
              <w:tl2br w:val="nil"/>
              <w:tr2bl w:val="nil"/>
            </w:tcBorders>
            <w:vAlign w:val="center"/>
          </w:tcPr>
          <w:p>
            <w:pPr>
              <w:autoSpaceDE w:val="0"/>
              <w:autoSpaceDN w:val="0"/>
              <w:adjustRightInd w:val="0"/>
              <w:rPr>
                <w:rFonts w:ascii="宋体" w:cs="宋体"/>
                <w:color w:val="auto"/>
                <w:sz w:val="24"/>
                <w:szCs w:val="24"/>
                <w:highlight w:val="none"/>
              </w:rPr>
            </w:pPr>
            <w:r>
              <w:rPr>
                <w:rFonts w:hint="eastAsia" w:ascii="宋体" w:cs="宋体"/>
                <w:color w:val="auto"/>
                <w:sz w:val="24"/>
                <w:szCs w:val="24"/>
                <w:highlight w:val="none"/>
              </w:rPr>
              <w:t>技术标不符合招标文件要求。（</w:t>
            </w:r>
            <w:r>
              <w:rPr>
                <w:rFonts w:hint="eastAsia" w:ascii="宋体" w:cs="宋体"/>
                <w:color w:val="auto"/>
                <w:sz w:val="24"/>
                <w:szCs w:val="24"/>
                <w:highlight w:val="none"/>
                <w:lang w:val="en-US" w:eastAsia="zh-CN"/>
              </w:rPr>
              <w:t>0分</w:t>
            </w:r>
            <w:r>
              <w:rPr>
                <w:rFonts w:hint="eastAsia" w:asci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restart"/>
            <w:tcBorders>
              <w:tl2br w:val="nil"/>
              <w:tr2bl w:val="nil"/>
            </w:tcBorders>
            <w:vAlign w:val="center"/>
          </w:tcPr>
          <w:p>
            <w:pPr>
              <w:pStyle w:val="15"/>
              <w:jc w:val="center"/>
              <w:rPr>
                <w:rFonts w:ascii="宋体" w:cs="宋体"/>
                <w:color w:val="auto"/>
                <w:sz w:val="24"/>
                <w:szCs w:val="24"/>
                <w:highlight w:val="none"/>
              </w:rPr>
            </w:pPr>
            <w:r>
              <w:rPr>
                <w:rFonts w:hint="eastAsia" w:ascii="宋体" w:cs="宋体"/>
                <w:color w:val="auto"/>
                <w:sz w:val="24"/>
                <w:szCs w:val="24"/>
                <w:highlight w:val="none"/>
              </w:rPr>
              <w:t>主要施工方案与技术措施（0-</w:t>
            </w:r>
            <w:r>
              <w:rPr>
                <w:rFonts w:hint="eastAsia" w:ascii="宋体" w:cs="宋体"/>
                <w:color w:val="auto"/>
                <w:sz w:val="24"/>
                <w:szCs w:val="24"/>
                <w:highlight w:val="none"/>
                <w:lang w:val="en-US" w:eastAsia="zh-CN"/>
              </w:rPr>
              <w:t>4</w:t>
            </w:r>
            <w:r>
              <w:rPr>
                <w:rFonts w:hint="eastAsia" w:ascii="宋体" w:cs="宋体"/>
                <w:color w:val="auto"/>
                <w:sz w:val="24"/>
                <w:szCs w:val="24"/>
                <w:highlight w:val="none"/>
              </w:rPr>
              <w:t>分）</w:t>
            </w: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color w:val="auto"/>
                <w:sz w:val="24"/>
                <w:szCs w:val="24"/>
                <w:highlight w:val="none"/>
              </w:rPr>
              <w:t>施工方案（含工程特点、施工重点与难点及绿色施工）总体安排合理，运用先进、合理的施工工艺、施工机械；对施工难点有先进和合理的建议。（</w:t>
            </w:r>
            <w:r>
              <w:rPr>
                <w:rFonts w:hint="eastAsia" w:ascii="宋体" w:cs="宋体"/>
                <w:color w:val="auto"/>
                <w:sz w:val="24"/>
                <w:szCs w:val="24"/>
                <w:highlight w:val="none"/>
                <w:lang w:val="en-US" w:eastAsia="zh-CN"/>
              </w:rPr>
              <w:t>3</w:t>
            </w:r>
            <w:r>
              <w:rPr>
                <w:rFonts w:hint="eastAsia" w:ascii="宋体" w:cs="宋体"/>
                <w:color w:val="auto"/>
                <w:sz w:val="24"/>
                <w:szCs w:val="24"/>
                <w:highlight w:val="none"/>
              </w:rPr>
              <w:t>＜得分≤</w:t>
            </w:r>
            <w:r>
              <w:rPr>
                <w:rFonts w:hint="eastAsia" w:ascii="宋体" w:cs="宋体"/>
                <w:color w:val="auto"/>
                <w:sz w:val="24"/>
                <w:szCs w:val="24"/>
                <w:highlight w:val="none"/>
                <w:lang w:val="en-US" w:eastAsia="zh-CN"/>
              </w:rPr>
              <w:t>4</w:t>
            </w:r>
            <w:r>
              <w:rPr>
                <w:rFonts w:hint="eastAsia" w:asci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continue"/>
            <w:tcBorders>
              <w:tl2br w:val="nil"/>
              <w:tr2bl w:val="nil"/>
            </w:tcBorders>
            <w:vAlign w:val="center"/>
          </w:tcPr>
          <w:p>
            <w:pPr>
              <w:rPr>
                <w:color w:val="auto"/>
                <w:sz w:val="24"/>
                <w:szCs w:val="32"/>
                <w:highlight w:val="none"/>
              </w:rPr>
            </w:pP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color w:val="auto"/>
                <w:sz w:val="24"/>
                <w:szCs w:val="24"/>
                <w:highlight w:val="none"/>
              </w:rPr>
              <w:t>施工方案（含工程特点、施工重点与难点及绿色施工）总体安排合理，施工工艺、施工机械合理、可行；对施工难点有合理的建议。（</w:t>
            </w:r>
            <w:r>
              <w:rPr>
                <w:rFonts w:hint="eastAsia" w:ascii="宋体" w:cs="宋体"/>
                <w:color w:val="auto"/>
                <w:sz w:val="24"/>
                <w:szCs w:val="24"/>
                <w:highlight w:val="none"/>
                <w:lang w:val="en-US" w:eastAsia="zh-CN"/>
              </w:rPr>
              <w:t>1</w:t>
            </w:r>
            <w:r>
              <w:rPr>
                <w:rFonts w:hint="eastAsia" w:ascii="宋体" w:cs="宋体"/>
                <w:color w:val="auto"/>
                <w:sz w:val="24"/>
                <w:szCs w:val="24"/>
                <w:highlight w:val="none"/>
              </w:rPr>
              <w:t>≤得分≤</w:t>
            </w:r>
            <w:r>
              <w:rPr>
                <w:rFonts w:hint="eastAsia" w:ascii="宋体" w:cs="宋体"/>
                <w:color w:val="auto"/>
                <w:sz w:val="24"/>
                <w:szCs w:val="24"/>
                <w:highlight w:val="none"/>
                <w:lang w:val="en-US" w:eastAsia="zh-CN"/>
              </w:rPr>
              <w:t>2</w:t>
            </w:r>
            <w:r>
              <w:rPr>
                <w:rFonts w:hint="eastAsia" w:asci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restart"/>
            <w:tcBorders>
              <w:tl2br w:val="nil"/>
              <w:tr2bl w:val="nil"/>
            </w:tcBorders>
            <w:vAlign w:val="center"/>
          </w:tcPr>
          <w:p>
            <w:pPr>
              <w:pStyle w:val="15"/>
              <w:jc w:val="center"/>
              <w:rPr>
                <w:rFonts w:ascii="宋体" w:cs="宋体"/>
                <w:color w:val="auto"/>
                <w:sz w:val="24"/>
                <w:szCs w:val="24"/>
                <w:highlight w:val="none"/>
              </w:rPr>
            </w:pPr>
            <w:r>
              <w:rPr>
                <w:rFonts w:hint="eastAsia" w:ascii="宋体" w:cs="宋体"/>
                <w:color w:val="auto"/>
                <w:sz w:val="24"/>
                <w:szCs w:val="24"/>
                <w:highlight w:val="none"/>
              </w:rPr>
              <w:t>质量管理体系与措施</w:t>
            </w:r>
          </w:p>
          <w:p>
            <w:pPr>
              <w:pStyle w:val="15"/>
              <w:jc w:val="center"/>
              <w:rPr>
                <w:rFonts w:ascii="宋体" w:cs="宋体"/>
                <w:color w:val="auto"/>
                <w:sz w:val="24"/>
                <w:szCs w:val="24"/>
                <w:highlight w:val="none"/>
              </w:rPr>
            </w:pPr>
            <w:r>
              <w:rPr>
                <w:rFonts w:hint="eastAsia" w:ascii="宋体" w:cs="宋体"/>
                <w:color w:val="auto"/>
                <w:sz w:val="24"/>
                <w:szCs w:val="24"/>
                <w:highlight w:val="none"/>
              </w:rPr>
              <w:t>（0-</w:t>
            </w:r>
            <w:r>
              <w:rPr>
                <w:rFonts w:hint="eastAsia" w:ascii="宋体" w:cs="宋体"/>
                <w:color w:val="auto"/>
                <w:sz w:val="24"/>
                <w:szCs w:val="24"/>
                <w:highlight w:val="none"/>
                <w:lang w:val="en-US" w:eastAsia="zh-CN"/>
              </w:rPr>
              <w:t>3</w:t>
            </w:r>
            <w:r>
              <w:rPr>
                <w:rFonts w:hint="eastAsia" w:ascii="宋体" w:cs="宋体"/>
                <w:color w:val="auto"/>
                <w:sz w:val="24"/>
                <w:szCs w:val="24"/>
                <w:highlight w:val="none"/>
              </w:rPr>
              <w:t>分）</w:t>
            </w: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color w:val="auto"/>
                <w:sz w:val="24"/>
                <w:szCs w:val="24"/>
                <w:highlight w:val="none"/>
              </w:rPr>
              <w:t>组织机构形式合理，有完善的指挥系统、质量监控系统、联络协调系统，对项目提出先进、可行、具体的保证措施。主体结构质量保证措施完整得力、经济、安全、切实可行。主体结构按照工程建设强制性标准和其他技术标准施工，不得偷工减料。（</w:t>
            </w:r>
            <w:r>
              <w:rPr>
                <w:rFonts w:hint="eastAsia" w:ascii="宋体" w:cs="宋体"/>
                <w:color w:val="auto"/>
                <w:sz w:val="24"/>
                <w:szCs w:val="24"/>
                <w:highlight w:val="none"/>
                <w:lang w:val="en-US" w:eastAsia="zh-CN"/>
              </w:rPr>
              <w:t>1.5</w:t>
            </w:r>
            <w:r>
              <w:rPr>
                <w:rFonts w:hint="eastAsia" w:ascii="宋体" w:cs="宋体"/>
                <w:color w:val="auto"/>
                <w:sz w:val="24"/>
                <w:szCs w:val="24"/>
                <w:highlight w:val="none"/>
              </w:rPr>
              <w:t>＜得分≤</w:t>
            </w:r>
            <w:r>
              <w:rPr>
                <w:rFonts w:hint="eastAsia" w:ascii="宋体" w:cs="宋体"/>
                <w:color w:val="auto"/>
                <w:sz w:val="24"/>
                <w:szCs w:val="24"/>
                <w:highlight w:val="none"/>
                <w:lang w:val="en-US" w:eastAsia="zh-CN"/>
              </w:rPr>
              <w:t>3</w:t>
            </w:r>
            <w:r>
              <w:rPr>
                <w:rFonts w:hint="eastAsia" w:asci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continue"/>
            <w:tcBorders>
              <w:tl2br w:val="nil"/>
              <w:tr2bl w:val="nil"/>
            </w:tcBorders>
            <w:vAlign w:val="center"/>
          </w:tcPr>
          <w:p>
            <w:pPr>
              <w:rPr>
                <w:color w:val="auto"/>
                <w:sz w:val="24"/>
                <w:szCs w:val="32"/>
                <w:highlight w:val="none"/>
              </w:rPr>
            </w:pP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color w:val="auto"/>
                <w:sz w:val="24"/>
                <w:szCs w:val="24"/>
                <w:highlight w:val="none"/>
              </w:rPr>
              <w:t>组织机构形式基本合理，指挥系统、质量监控系统、联络协调系统，具体措施可行。主体结构质量保证措施经济、安全、基本可行。主体结构符合工程建设强制性标准，不得偷工减料。（0</w:t>
            </w:r>
            <w:r>
              <w:rPr>
                <w:rFonts w:hint="eastAsia" w:ascii="宋体" w:cs="宋体"/>
                <w:color w:val="auto"/>
                <w:sz w:val="24"/>
                <w:szCs w:val="24"/>
                <w:highlight w:val="none"/>
                <w:lang w:val="en-US" w:eastAsia="zh-CN"/>
              </w:rPr>
              <w:t>.5</w:t>
            </w:r>
            <w:r>
              <w:rPr>
                <w:rFonts w:hint="eastAsia" w:ascii="宋体" w:cs="宋体"/>
                <w:color w:val="auto"/>
                <w:sz w:val="24"/>
                <w:szCs w:val="24"/>
                <w:highlight w:val="none"/>
              </w:rPr>
              <w:t>≤得分≤</w:t>
            </w:r>
            <w:r>
              <w:rPr>
                <w:rFonts w:hint="eastAsia" w:ascii="宋体" w:cs="宋体"/>
                <w:color w:val="auto"/>
                <w:sz w:val="24"/>
                <w:szCs w:val="24"/>
                <w:highlight w:val="none"/>
                <w:lang w:val="en-US" w:eastAsia="zh-CN"/>
              </w:rPr>
              <w:t>1.5</w:t>
            </w:r>
            <w:r>
              <w:rPr>
                <w:rFonts w:hint="eastAsia" w:asci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restart"/>
            <w:tcBorders>
              <w:tl2br w:val="nil"/>
              <w:tr2bl w:val="nil"/>
            </w:tcBorders>
            <w:vAlign w:val="center"/>
          </w:tcPr>
          <w:p>
            <w:pPr>
              <w:jc w:val="center"/>
              <w:rPr>
                <w:rFonts w:ascii="宋体" w:cs="宋体"/>
                <w:color w:val="auto"/>
                <w:sz w:val="24"/>
                <w:szCs w:val="24"/>
                <w:highlight w:val="none"/>
              </w:rPr>
            </w:pPr>
            <w:r>
              <w:rPr>
                <w:rFonts w:hint="eastAsia" w:ascii="宋体" w:cs="宋体"/>
                <w:color w:val="auto"/>
                <w:sz w:val="24"/>
                <w:szCs w:val="24"/>
                <w:highlight w:val="none"/>
              </w:rPr>
              <w:t>安全管理体系与措施</w:t>
            </w:r>
          </w:p>
          <w:p>
            <w:pPr>
              <w:jc w:val="center"/>
              <w:rPr>
                <w:rFonts w:ascii="宋体" w:cs="宋体"/>
                <w:color w:val="auto"/>
                <w:sz w:val="24"/>
                <w:szCs w:val="24"/>
                <w:highlight w:val="none"/>
              </w:rPr>
            </w:pPr>
            <w:r>
              <w:rPr>
                <w:rFonts w:hint="eastAsia" w:ascii="宋体" w:cs="宋体"/>
                <w:color w:val="auto"/>
                <w:sz w:val="24"/>
                <w:szCs w:val="24"/>
                <w:highlight w:val="none"/>
              </w:rPr>
              <w:t>（0-</w:t>
            </w:r>
            <w:r>
              <w:rPr>
                <w:rFonts w:hint="eastAsia" w:ascii="宋体" w:cs="宋体"/>
                <w:color w:val="auto"/>
                <w:sz w:val="24"/>
                <w:szCs w:val="24"/>
                <w:highlight w:val="none"/>
                <w:lang w:val="en-US" w:eastAsia="zh-CN"/>
              </w:rPr>
              <w:t>3</w:t>
            </w:r>
            <w:r>
              <w:rPr>
                <w:rFonts w:hint="eastAsia" w:ascii="宋体" w:cs="宋体"/>
                <w:color w:val="auto"/>
                <w:sz w:val="24"/>
                <w:szCs w:val="24"/>
                <w:highlight w:val="none"/>
              </w:rPr>
              <w:t>分）</w:t>
            </w: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color w:val="auto"/>
                <w:sz w:val="24"/>
                <w:szCs w:val="24"/>
                <w:highlight w:val="none"/>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r>
              <w:rPr>
                <w:rFonts w:hint="eastAsia" w:ascii="宋体" w:cs="宋体"/>
                <w:color w:val="auto"/>
                <w:sz w:val="24"/>
                <w:szCs w:val="24"/>
                <w:highlight w:val="none"/>
                <w:lang w:val="en-US" w:eastAsia="zh-CN"/>
              </w:rPr>
              <w:t>1.5</w:t>
            </w:r>
            <w:r>
              <w:rPr>
                <w:rFonts w:hint="eastAsia" w:ascii="宋体" w:cs="宋体"/>
                <w:color w:val="auto"/>
                <w:sz w:val="24"/>
                <w:szCs w:val="24"/>
                <w:highlight w:val="none"/>
              </w:rPr>
              <w:t>＜得分≤</w:t>
            </w:r>
            <w:r>
              <w:rPr>
                <w:rFonts w:hint="eastAsia" w:ascii="宋体" w:cs="宋体"/>
                <w:color w:val="auto"/>
                <w:sz w:val="24"/>
                <w:szCs w:val="24"/>
                <w:highlight w:val="none"/>
                <w:lang w:val="en-US" w:eastAsia="zh-CN"/>
              </w:rPr>
              <w:t>3</w:t>
            </w:r>
            <w:r>
              <w:rPr>
                <w:rFonts w:hint="eastAsia" w:asci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continue"/>
            <w:tcBorders>
              <w:tl2br w:val="nil"/>
              <w:tr2bl w:val="nil"/>
            </w:tcBorders>
            <w:vAlign w:val="center"/>
          </w:tcPr>
          <w:p>
            <w:pPr>
              <w:rPr>
                <w:color w:val="auto"/>
                <w:sz w:val="24"/>
                <w:szCs w:val="32"/>
                <w:highlight w:val="none"/>
              </w:rPr>
            </w:pP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color w:val="auto"/>
                <w:sz w:val="24"/>
                <w:szCs w:val="24"/>
                <w:highlight w:val="none"/>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0</w:t>
            </w:r>
            <w:r>
              <w:rPr>
                <w:rFonts w:hint="eastAsia" w:ascii="宋体" w:cs="宋体"/>
                <w:color w:val="auto"/>
                <w:sz w:val="24"/>
                <w:szCs w:val="24"/>
                <w:highlight w:val="none"/>
                <w:lang w:val="en-US" w:eastAsia="zh-CN"/>
              </w:rPr>
              <w:t>.5</w:t>
            </w:r>
            <w:r>
              <w:rPr>
                <w:rFonts w:hint="eastAsia" w:ascii="宋体" w:cs="宋体"/>
                <w:color w:val="auto"/>
                <w:sz w:val="24"/>
                <w:szCs w:val="24"/>
                <w:highlight w:val="none"/>
              </w:rPr>
              <w:t>≤得分≤</w:t>
            </w:r>
            <w:r>
              <w:rPr>
                <w:rFonts w:hint="eastAsia" w:ascii="宋体" w:cs="宋体"/>
                <w:color w:val="auto"/>
                <w:sz w:val="24"/>
                <w:szCs w:val="24"/>
                <w:highlight w:val="none"/>
                <w:lang w:val="en-US" w:eastAsia="zh-CN"/>
              </w:rPr>
              <w:t>1.5</w:t>
            </w:r>
            <w:r>
              <w:rPr>
                <w:rFonts w:hint="eastAsia" w:asci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restart"/>
            <w:tcBorders>
              <w:tl2br w:val="nil"/>
              <w:tr2bl w:val="nil"/>
            </w:tcBorders>
            <w:vAlign w:val="center"/>
          </w:tcPr>
          <w:p>
            <w:pPr>
              <w:jc w:val="center"/>
              <w:rPr>
                <w:rFonts w:ascii="宋体" w:cs="宋体"/>
                <w:color w:val="auto"/>
                <w:sz w:val="24"/>
                <w:szCs w:val="24"/>
                <w:highlight w:val="none"/>
              </w:rPr>
            </w:pPr>
            <w:r>
              <w:rPr>
                <w:rFonts w:hint="eastAsia" w:ascii="宋体" w:cs="宋体"/>
                <w:color w:val="auto"/>
                <w:sz w:val="24"/>
                <w:szCs w:val="24"/>
                <w:highlight w:val="none"/>
              </w:rPr>
              <w:t>文明施工、环境保护管理体系及施工现场扬尘治理措施（0-</w:t>
            </w:r>
            <w:r>
              <w:rPr>
                <w:rFonts w:hint="eastAsia" w:ascii="宋体" w:cs="宋体"/>
                <w:color w:val="auto"/>
                <w:sz w:val="24"/>
                <w:szCs w:val="24"/>
                <w:highlight w:val="none"/>
                <w:lang w:val="en-US" w:eastAsia="zh-CN"/>
              </w:rPr>
              <w:t>3</w:t>
            </w:r>
            <w:r>
              <w:rPr>
                <w:rFonts w:hint="eastAsia" w:ascii="宋体" w:cs="宋体"/>
                <w:color w:val="auto"/>
                <w:sz w:val="24"/>
                <w:szCs w:val="24"/>
                <w:highlight w:val="none"/>
              </w:rPr>
              <w:t>分）</w:t>
            </w: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color w:val="auto"/>
                <w:sz w:val="24"/>
                <w:szCs w:val="24"/>
                <w:highlight w:val="none"/>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 施工现场扬尘治理措施符合河南省《城市房屋建筑和市政基础设施工程及道路扬尘污染防治标准》(DBJ41/174）的规定，防治方案科学、先进。（</w:t>
            </w:r>
            <w:r>
              <w:rPr>
                <w:rFonts w:hint="eastAsia" w:ascii="宋体" w:cs="宋体"/>
                <w:color w:val="auto"/>
                <w:sz w:val="24"/>
                <w:szCs w:val="24"/>
                <w:highlight w:val="none"/>
                <w:lang w:val="en-US" w:eastAsia="zh-CN"/>
              </w:rPr>
              <w:t>1.5</w:t>
            </w:r>
            <w:r>
              <w:rPr>
                <w:rFonts w:hint="eastAsia" w:ascii="宋体" w:cs="宋体"/>
                <w:color w:val="auto"/>
                <w:sz w:val="24"/>
                <w:szCs w:val="24"/>
                <w:highlight w:val="none"/>
              </w:rPr>
              <w:t>＜得分≤</w:t>
            </w:r>
            <w:r>
              <w:rPr>
                <w:rFonts w:hint="eastAsia" w:ascii="宋体" w:cs="宋体"/>
                <w:color w:val="auto"/>
                <w:sz w:val="24"/>
                <w:szCs w:val="24"/>
                <w:highlight w:val="none"/>
                <w:lang w:val="en-US" w:eastAsia="zh-CN"/>
              </w:rPr>
              <w:t>3</w:t>
            </w:r>
            <w:r>
              <w:rPr>
                <w:rFonts w:hint="eastAsia" w:asci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continue"/>
            <w:tcBorders>
              <w:tl2br w:val="nil"/>
              <w:tr2bl w:val="nil"/>
            </w:tcBorders>
            <w:vAlign w:val="center"/>
          </w:tcPr>
          <w:p>
            <w:pPr>
              <w:rPr>
                <w:color w:val="auto"/>
                <w:sz w:val="24"/>
                <w:szCs w:val="32"/>
                <w:highlight w:val="none"/>
              </w:rPr>
            </w:pP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color w:val="auto"/>
                <w:sz w:val="24"/>
                <w:szCs w:val="24"/>
                <w:highlight w:val="none"/>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0</w:t>
            </w:r>
            <w:r>
              <w:rPr>
                <w:rFonts w:hint="eastAsia" w:ascii="宋体" w:cs="宋体"/>
                <w:color w:val="auto"/>
                <w:sz w:val="24"/>
                <w:szCs w:val="24"/>
                <w:highlight w:val="none"/>
                <w:lang w:val="en-US" w:eastAsia="zh-CN"/>
              </w:rPr>
              <w:t>.5</w:t>
            </w:r>
            <w:r>
              <w:rPr>
                <w:rFonts w:hint="eastAsia" w:ascii="宋体" w:cs="宋体"/>
                <w:color w:val="auto"/>
                <w:sz w:val="24"/>
                <w:szCs w:val="24"/>
                <w:highlight w:val="none"/>
              </w:rPr>
              <w:t>≤得分≤</w:t>
            </w:r>
            <w:r>
              <w:rPr>
                <w:rFonts w:hint="eastAsia" w:ascii="宋体" w:cs="宋体"/>
                <w:color w:val="auto"/>
                <w:sz w:val="24"/>
                <w:szCs w:val="24"/>
                <w:highlight w:val="none"/>
                <w:lang w:val="en-US" w:eastAsia="zh-CN"/>
              </w:rPr>
              <w:t>1.5</w:t>
            </w:r>
            <w:r>
              <w:rPr>
                <w:rFonts w:hint="eastAsia" w:asci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restart"/>
            <w:tcBorders>
              <w:tl2br w:val="nil"/>
              <w:tr2bl w:val="nil"/>
            </w:tcBorders>
            <w:vAlign w:val="center"/>
          </w:tcPr>
          <w:p>
            <w:pPr>
              <w:jc w:val="center"/>
              <w:rPr>
                <w:rFonts w:ascii="宋体" w:cs="宋体"/>
                <w:color w:val="auto"/>
                <w:sz w:val="24"/>
                <w:szCs w:val="24"/>
                <w:highlight w:val="none"/>
              </w:rPr>
            </w:pPr>
            <w:r>
              <w:rPr>
                <w:rFonts w:hint="eastAsia" w:ascii="宋体" w:cs="宋体"/>
                <w:color w:val="auto"/>
                <w:sz w:val="24"/>
                <w:szCs w:val="24"/>
                <w:highlight w:val="none"/>
              </w:rPr>
              <w:t>工期保证措施</w:t>
            </w:r>
          </w:p>
          <w:p>
            <w:pPr>
              <w:jc w:val="center"/>
              <w:rPr>
                <w:rFonts w:ascii="宋体" w:cs="宋体"/>
                <w:color w:val="auto"/>
                <w:sz w:val="24"/>
                <w:szCs w:val="24"/>
                <w:highlight w:val="none"/>
              </w:rPr>
            </w:pPr>
            <w:r>
              <w:rPr>
                <w:rFonts w:hint="eastAsia" w:ascii="宋体" w:cs="宋体"/>
                <w:color w:val="auto"/>
                <w:sz w:val="24"/>
                <w:szCs w:val="24"/>
                <w:highlight w:val="none"/>
              </w:rPr>
              <w:t>（0-</w:t>
            </w:r>
            <w:r>
              <w:rPr>
                <w:rFonts w:hint="eastAsia" w:ascii="宋体" w:cs="宋体"/>
                <w:color w:val="auto"/>
                <w:sz w:val="24"/>
                <w:szCs w:val="24"/>
                <w:highlight w:val="none"/>
                <w:lang w:val="en-US" w:eastAsia="zh-CN"/>
              </w:rPr>
              <w:t>3</w:t>
            </w:r>
            <w:r>
              <w:rPr>
                <w:rFonts w:hint="eastAsia" w:ascii="宋体" w:cs="宋体"/>
                <w:color w:val="auto"/>
                <w:sz w:val="24"/>
                <w:szCs w:val="24"/>
                <w:highlight w:val="none"/>
              </w:rPr>
              <w:t>分）</w:t>
            </w: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color w:val="auto"/>
                <w:sz w:val="24"/>
                <w:szCs w:val="24"/>
                <w:highlight w:val="none"/>
              </w:rPr>
              <w:t>工期承诺满足招标文件要求，工期保证措施合理且有针对性，有具体的违约责任承诺。（</w:t>
            </w:r>
            <w:r>
              <w:rPr>
                <w:rFonts w:hint="eastAsia" w:ascii="宋体" w:cs="宋体"/>
                <w:color w:val="auto"/>
                <w:sz w:val="24"/>
                <w:szCs w:val="24"/>
                <w:highlight w:val="none"/>
                <w:lang w:val="en-US" w:eastAsia="zh-CN"/>
              </w:rPr>
              <w:t>1.5</w:t>
            </w:r>
            <w:r>
              <w:rPr>
                <w:rFonts w:hint="eastAsia" w:ascii="宋体" w:cs="宋体"/>
                <w:color w:val="auto"/>
                <w:sz w:val="24"/>
                <w:szCs w:val="24"/>
                <w:highlight w:val="none"/>
              </w:rPr>
              <w:t>＜得分≤</w:t>
            </w:r>
            <w:r>
              <w:rPr>
                <w:rFonts w:hint="eastAsia" w:ascii="宋体" w:cs="宋体"/>
                <w:color w:val="auto"/>
                <w:sz w:val="24"/>
                <w:szCs w:val="24"/>
                <w:highlight w:val="none"/>
                <w:lang w:val="en-US" w:eastAsia="zh-CN"/>
              </w:rPr>
              <w:t>3</w:t>
            </w:r>
            <w:r>
              <w:rPr>
                <w:rFonts w:hint="eastAsia" w:asci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continue"/>
            <w:tcBorders>
              <w:tl2br w:val="nil"/>
              <w:tr2bl w:val="nil"/>
            </w:tcBorders>
            <w:vAlign w:val="center"/>
          </w:tcPr>
          <w:p>
            <w:pPr>
              <w:rPr>
                <w:color w:val="auto"/>
                <w:sz w:val="24"/>
                <w:szCs w:val="32"/>
                <w:highlight w:val="none"/>
              </w:rPr>
            </w:pP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color w:val="auto"/>
                <w:sz w:val="24"/>
                <w:szCs w:val="24"/>
                <w:highlight w:val="none"/>
              </w:rPr>
              <w:t>工期承诺满足招标文件要求，工期保证措施基本合理，有具体的违约责任承诺。（</w:t>
            </w:r>
            <w:r>
              <w:rPr>
                <w:rFonts w:hint="eastAsia" w:ascii="宋体" w:cs="宋体"/>
                <w:color w:val="auto"/>
                <w:sz w:val="24"/>
                <w:szCs w:val="24"/>
                <w:highlight w:val="none"/>
                <w:lang w:val="en-US" w:eastAsia="zh-CN"/>
              </w:rPr>
              <w:t>0.5</w:t>
            </w:r>
            <w:r>
              <w:rPr>
                <w:rFonts w:hint="eastAsia" w:ascii="宋体" w:cs="宋体"/>
                <w:color w:val="auto"/>
                <w:sz w:val="24"/>
                <w:szCs w:val="24"/>
                <w:highlight w:val="none"/>
              </w:rPr>
              <w:t>≤得分≤</w:t>
            </w:r>
            <w:r>
              <w:rPr>
                <w:rFonts w:hint="eastAsia" w:ascii="宋体" w:cs="宋体"/>
                <w:color w:val="auto"/>
                <w:sz w:val="24"/>
                <w:szCs w:val="24"/>
                <w:highlight w:val="none"/>
                <w:lang w:val="en-US" w:eastAsia="zh-CN"/>
              </w:rPr>
              <w:t>1.5</w:t>
            </w:r>
            <w:r>
              <w:rPr>
                <w:rFonts w:hint="eastAsia" w:asci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restart"/>
            <w:tcBorders>
              <w:tl2br w:val="nil"/>
              <w:tr2bl w:val="nil"/>
            </w:tcBorders>
            <w:vAlign w:val="center"/>
          </w:tcPr>
          <w:p>
            <w:pPr>
              <w:jc w:val="center"/>
              <w:rPr>
                <w:rFonts w:ascii="宋体" w:cs="宋体"/>
                <w:color w:val="auto"/>
                <w:sz w:val="24"/>
                <w:szCs w:val="24"/>
                <w:highlight w:val="none"/>
              </w:rPr>
            </w:pPr>
            <w:r>
              <w:rPr>
                <w:rFonts w:hint="eastAsia" w:ascii="宋体" w:cs="宋体"/>
                <w:color w:val="auto"/>
                <w:sz w:val="24"/>
                <w:szCs w:val="24"/>
                <w:highlight w:val="none"/>
              </w:rPr>
              <w:t>拟投入资源配备计划（0-</w:t>
            </w:r>
            <w:r>
              <w:rPr>
                <w:rFonts w:hint="eastAsia" w:ascii="宋体" w:cs="宋体"/>
                <w:color w:val="auto"/>
                <w:sz w:val="24"/>
                <w:szCs w:val="24"/>
                <w:highlight w:val="none"/>
                <w:lang w:val="en-US" w:eastAsia="zh-CN"/>
              </w:rPr>
              <w:t>3</w:t>
            </w:r>
            <w:r>
              <w:rPr>
                <w:rFonts w:hint="eastAsia" w:ascii="宋体" w:cs="宋体"/>
                <w:color w:val="auto"/>
                <w:sz w:val="24"/>
                <w:szCs w:val="24"/>
                <w:highlight w:val="none"/>
              </w:rPr>
              <w:t>分）</w:t>
            </w:r>
          </w:p>
        </w:tc>
        <w:tc>
          <w:tcPr>
            <w:tcW w:w="5681" w:type="dxa"/>
            <w:gridSpan w:val="2"/>
            <w:tcBorders>
              <w:tl2br w:val="nil"/>
              <w:tr2bl w:val="nil"/>
            </w:tcBorders>
            <w:vAlign w:val="center"/>
          </w:tcPr>
          <w:p>
            <w:pPr>
              <w:ind w:firstLine="480" w:firstLineChars="200"/>
              <w:rPr>
                <w:rFonts w:ascii="宋体" w:cs="宋体"/>
                <w:sz w:val="24"/>
                <w:szCs w:val="24"/>
                <w:highlight w:val="none"/>
              </w:rPr>
            </w:pPr>
            <w:r>
              <w:rPr>
                <w:rFonts w:hint="eastAsia" w:ascii="宋体" w:cs="宋体"/>
                <w:sz w:val="24"/>
                <w:szCs w:val="24"/>
                <w:highlight w:val="none"/>
              </w:rPr>
              <w:t>1.机械：投入计划与进度计划呼应，采用先进机械设备且配置合理、先进，满足安全技术规范和施工进度需要；PC 构件运输、安装设备满足施工要求；</w:t>
            </w:r>
          </w:p>
          <w:p>
            <w:pPr>
              <w:ind w:firstLine="480" w:firstLineChars="200"/>
              <w:rPr>
                <w:rFonts w:ascii="宋体" w:cs="宋体"/>
                <w:sz w:val="24"/>
                <w:szCs w:val="24"/>
                <w:highlight w:val="none"/>
              </w:rPr>
            </w:pPr>
            <w:r>
              <w:rPr>
                <w:rFonts w:hint="eastAsia" w:ascii="宋体" w:cs="宋体"/>
                <w:sz w:val="24"/>
                <w:szCs w:val="24"/>
                <w:highlight w:val="none"/>
              </w:rPr>
              <w:t>2.劳动力：投入计划与进度计划呼应，较好满足施工需要，调配投入计划合理、准确；</w:t>
            </w:r>
          </w:p>
          <w:p>
            <w:pPr>
              <w:ind w:firstLine="480" w:firstLineChars="200"/>
              <w:rPr>
                <w:rFonts w:ascii="宋体" w:cs="宋体"/>
                <w:color w:val="auto"/>
                <w:sz w:val="24"/>
                <w:szCs w:val="24"/>
                <w:highlight w:val="none"/>
              </w:rPr>
            </w:pPr>
            <w:r>
              <w:rPr>
                <w:rFonts w:hint="eastAsia" w:ascii="宋体" w:cs="宋体"/>
                <w:sz w:val="24"/>
                <w:szCs w:val="24"/>
                <w:highlight w:val="none"/>
              </w:rPr>
              <w:t>3.主要物资计划：主要物资（含 PC 构件的供应需求）投入计划与进度计划呼应，较好满足施工需要，调配投入计划合理、准确。（</w:t>
            </w:r>
            <w:r>
              <w:rPr>
                <w:rFonts w:hint="eastAsia" w:ascii="宋体" w:cs="宋体"/>
                <w:sz w:val="24"/>
                <w:szCs w:val="24"/>
                <w:highlight w:val="none"/>
                <w:lang w:val="en-US" w:eastAsia="zh-CN"/>
              </w:rPr>
              <w:t>1.5</w:t>
            </w:r>
            <w:r>
              <w:rPr>
                <w:rFonts w:hint="eastAsia" w:ascii="宋体" w:cs="宋体"/>
                <w:sz w:val="24"/>
                <w:szCs w:val="24"/>
                <w:highlight w:val="none"/>
              </w:rPr>
              <w:t>＜得分≤</w:t>
            </w:r>
            <w:r>
              <w:rPr>
                <w:rFonts w:hint="eastAsia" w:ascii="宋体" w:cs="宋体"/>
                <w:sz w:val="24"/>
                <w:szCs w:val="24"/>
                <w:highlight w:val="none"/>
                <w:lang w:val="en-US" w:eastAsia="zh-CN"/>
              </w:rPr>
              <w:t>3</w:t>
            </w:r>
            <w:r>
              <w:rPr>
                <w:rFonts w:hint="eastAsia" w:ascii="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continue"/>
            <w:tcBorders>
              <w:tl2br w:val="nil"/>
              <w:tr2bl w:val="nil"/>
            </w:tcBorders>
            <w:vAlign w:val="center"/>
          </w:tcPr>
          <w:p>
            <w:pPr>
              <w:rPr>
                <w:color w:val="auto"/>
                <w:sz w:val="24"/>
                <w:szCs w:val="32"/>
                <w:highlight w:val="none"/>
              </w:rPr>
            </w:pPr>
          </w:p>
        </w:tc>
        <w:tc>
          <w:tcPr>
            <w:tcW w:w="5681" w:type="dxa"/>
            <w:gridSpan w:val="2"/>
            <w:tcBorders>
              <w:tl2br w:val="nil"/>
              <w:tr2bl w:val="nil"/>
            </w:tcBorders>
            <w:vAlign w:val="center"/>
          </w:tcPr>
          <w:p>
            <w:pPr>
              <w:ind w:firstLine="480" w:firstLineChars="200"/>
              <w:rPr>
                <w:rFonts w:ascii="宋体" w:cs="宋体"/>
                <w:sz w:val="24"/>
                <w:szCs w:val="24"/>
                <w:highlight w:val="none"/>
              </w:rPr>
            </w:pPr>
            <w:r>
              <w:rPr>
                <w:rFonts w:hint="eastAsia" w:ascii="宋体" w:cs="宋体"/>
                <w:sz w:val="24"/>
                <w:szCs w:val="24"/>
                <w:highlight w:val="none"/>
              </w:rPr>
              <w:t>1.机械：投入计划与进度计划呼应，机械设备配置基本合理，满足安全技术规范和施工进度需要。</w:t>
            </w:r>
          </w:p>
          <w:p>
            <w:pPr>
              <w:ind w:firstLine="480" w:firstLineChars="200"/>
              <w:rPr>
                <w:rFonts w:ascii="宋体" w:cs="宋体"/>
                <w:sz w:val="24"/>
                <w:szCs w:val="24"/>
                <w:highlight w:val="none"/>
              </w:rPr>
            </w:pPr>
            <w:r>
              <w:rPr>
                <w:rFonts w:hint="eastAsia" w:ascii="宋体" w:cs="宋体"/>
                <w:sz w:val="24"/>
                <w:szCs w:val="24"/>
                <w:highlight w:val="none"/>
              </w:rPr>
              <w:t>2.劳动力：投入计划与进度计划呼应，基本满足施工需要，调配投入计划基本合理。</w:t>
            </w:r>
          </w:p>
          <w:p>
            <w:pPr>
              <w:ind w:firstLine="464" w:firstLineChars="200"/>
              <w:rPr>
                <w:rFonts w:ascii="宋体" w:cs="宋体"/>
                <w:color w:val="auto"/>
                <w:sz w:val="24"/>
                <w:szCs w:val="24"/>
                <w:highlight w:val="none"/>
              </w:rPr>
            </w:pPr>
            <w:r>
              <w:rPr>
                <w:rFonts w:hint="eastAsia" w:ascii="宋体" w:cs="宋体"/>
                <w:spacing w:val="-4"/>
                <w:sz w:val="24"/>
                <w:szCs w:val="24"/>
                <w:highlight w:val="none"/>
              </w:rPr>
              <w:t>3.主要物资计划：主要物资（含 PC 构件的供应需求）投入计划与进度计划呼应，基本满足施工需要，调配投入计划基本合理。（</w:t>
            </w:r>
            <w:r>
              <w:rPr>
                <w:rFonts w:hint="eastAsia" w:ascii="宋体" w:cs="宋体"/>
                <w:sz w:val="24"/>
                <w:szCs w:val="24"/>
                <w:highlight w:val="none"/>
              </w:rPr>
              <w:t>0</w:t>
            </w:r>
            <w:r>
              <w:rPr>
                <w:rFonts w:hint="eastAsia" w:ascii="宋体" w:cs="宋体"/>
                <w:sz w:val="24"/>
                <w:szCs w:val="24"/>
                <w:highlight w:val="none"/>
                <w:lang w:val="en-US" w:eastAsia="zh-CN"/>
              </w:rPr>
              <w:t>.5</w:t>
            </w:r>
            <w:r>
              <w:rPr>
                <w:rFonts w:hint="eastAsia" w:ascii="宋体" w:cs="宋体"/>
                <w:sz w:val="24"/>
                <w:szCs w:val="24"/>
                <w:highlight w:val="none"/>
              </w:rPr>
              <w:t>≤得分≤</w:t>
            </w:r>
            <w:r>
              <w:rPr>
                <w:rFonts w:hint="eastAsia" w:ascii="宋体" w:cs="宋体"/>
                <w:sz w:val="24"/>
                <w:szCs w:val="24"/>
                <w:highlight w:val="none"/>
                <w:lang w:val="en-US" w:eastAsia="zh-CN"/>
              </w:rPr>
              <w:t>1.5</w:t>
            </w:r>
            <w:r>
              <w:rPr>
                <w:rFonts w:hint="eastAsia" w:ascii="宋体" w:cs="宋体"/>
                <w:spacing w:val="-4"/>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restart"/>
            <w:tcBorders>
              <w:tl2br w:val="nil"/>
              <w:tr2bl w:val="nil"/>
            </w:tcBorders>
            <w:vAlign w:val="center"/>
          </w:tcPr>
          <w:p>
            <w:pPr>
              <w:jc w:val="center"/>
              <w:rPr>
                <w:rFonts w:ascii="宋体" w:cs="宋体"/>
                <w:color w:val="auto"/>
                <w:sz w:val="24"/>
                <w:szCs w:val="24"/>
                <w:highlight w:val="none"/>
              </w:rPr>
            </w:pPr>
            <w:r>
              <w:rPr>
                <w:rFonts w:hint="eastAsia" w:ascii="宋体" w:cs="宋体"/>
                <w:sz w:val="24"/>
                <w:szCs w:val="24"/>
                <w:highlight w:val="none"/>
              </w:rPr>
              <w:t>施工进度表与网络计划图（0-</w:t>
            </w:r>
            <w:r>
              <w:rPr>
                <w:rFonts w:hint="eastAsia" w:ascii="宋体" w:cs="宋体"/>
                <w:sz w:val="24"/>
                <w:szCs w:val="24"/>
                <w:highlight w:val="none"/>
                <w:lang w:val="en-US" w:eastAsia="zh-CN"/>
              </w:rPr>
              <w:t>2</w:t>
            </w:r>
            <w:r>
              <w:rPr>
                <w:rFonts w:hint="eastAsia" w:ascii="宋体" w:cs="宋体"/>
                <w:sz w:val="24"/>
                <w:szCs w:val="24"/>
                <w:highlight w:val="none"/>
              </w:rPr>
              <w:t>分）</w:t>
            </w: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sz w:val="24"/>
                <w:szCs w:val="24"/>
                <w:highlight w:val="none"/>
              </w:rPr>
              <w:t>关键线路清晰、准确、完整、计划编制合理、可行、满足招标文件对工期的要求。（1＜得分≤</w:t>
            </w:r>
            <w:r>
              <w:rPr>
                <w:rFonts w:hint="eastAsia" w:ascii="宋体" w:cs="宋体"/>
                <w:sz w:val="24"/>
                <w:szCs w:val="24"/>
                <w:highlight w:val="none"/>
                <w:lang w:val="en-US" w:eastAsia="zh-CN"/>
              </w:rPr>
              <w:t>2</w:t>
            </w:r>
            <w:r>
              <w:rPr>
                <w:rFonts w:hint="eastAsia" w:ascii="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continue"/>
            <w:tcBorders>
              <w:tl2br w:val="nil"/>
              <w:tr2bl w:val="nil"/>
            </w:tcBorders>
            <w:vAlign w:val="center"/>
          </w:tcPr>
          <w:p>
            <w:pPr>
              <w:rPr>
                <w:color w:val="auto"/>
                <w:sz w:val="24"/>
                <w:szCs w:val="32"/>
                <w:highlight w:val="none"/>
              </w:rPr>
            </w:pP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sz w:val="24"/>
                <w:szCs w:val="24"/>
                <w:highlight w:val="none"/>
              </w:rPr>
              <w:t>关键线路基本准确，计划编制基本可行。（</w:t>
            </w:r>
            <w:r>
              <w:rPr>
                <w:rFonts w:hint="eastAsia" w:ascii="宋体" w:cs="宋体"/>
                <w:sz w:val="24"/>
                <w:szCs w:val="24"/>
                <w:highlight w:val="none"/>
                <w:lang w:val="en-US" w:eastAsia="zh-CN"/>
              </w:rPr>
              <w:t>0.5</w:t>
            </w:r>
            <w:r>
              <w:rPr>
                <w:rFonts w:hint="eastAsia" w:ascii="宋体" w:cs="宋体"/>
                <w:sz w:val="24"/>
                <w:szCs w:val="24"/>
                <w:highlight w:val="none"/>
              </w:rPr>
              <w:t>≤得分≤</w:t>
            </w:r>
            <w:r>
              <w:rPr>
                <w:rFonts w:hint="eastAsia" w:ascii="宋体" w:cs="宋体"/>
                <w:sz w:val="24"/>
                <w:szCs w:val="24"/>
                <w:highlight w:val="none"/>
                <w:lang w:val="en-US" w:eastAsia="zh-CN"/>
              </w:rPr>
              <w:t>1</w:t>
            </w:r>
            <w:r>
              <w:rPr>
                <w:rFonts w:hint="eastAsia" w:ascii="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restart"/>
            <w:tcBorders>
              <w:tl2br w:val="nil"/>
              <w:tr2bl w:val="nil"/>
            </w:tcBorders>
            <w:vAlign w:val="center"/>
          </w:tcPr>
          <w:p>
            <w:pPr>
              <w:jc w:val="center"/>
              <w:rPr>
                <w:rFonts w:ascii="宋体" w:cs="宋体"/>
                <w:color w:val="auto"/>
                <w:sz w:val="24"/>
                <w:szCs w:val="24"/>
                <w:highlight w:val="none"/>
              </w:rPr>
            </w:pPr>
            <w:r>
              <w:rPr>
                <w:rFonts w:hint="eastAsia" w:ascii="宋体" w:cs="宋体"/>
                <w:sz w:val="24"/>
                <w:szCs w:val="24"/>
                <w:highlight w:val="none"/>
              </w:rPr>
              <w:t>施工总平面图布置（0-2分）</w:t>
            </w: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sz w:val="24"/>
                <w:szCs w:val="24"/>
                <w:highlight w:val="none"/>
              </w:rPr>
              <w:t>总体布置有针对性、合理、能较好满足施工需要，符合安全、文明施工要求；材料堆放有序。（1＜得分≤2）。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continue"/>
            <w:tcBorders>
              <w:tl2br w:val="nil"/>
              <w:tr2bl w:val="nil"/>
            </w:tcBorders>
            <w:vAlign w:val="center"/>
          </w:tcPr>
          <w:p>
            <w:pPr>
              <w:rPr>
                <w:color w:val="auto"/>
                <w:sz w:val="24"/>
                <w:szCs w:val="32"/>
                <w:highlight w:val="none"/>
              </w:rPr>
            </w:pP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sz w:val="24"/>
                <w:szCs w:val="24"/>
                <w:highlight w:val="none"/>
              </w:rPr>
              <w:t>总体布置基本合理、基本满足施工需要。（0</w:t>
            </w:r>
            <w:r>
              <w:rPr>
                <w:rFonts w:hint="eastAsia" w:ascii="宋体" w:cs="宋体"/>
                <w:sz w:val="24"/>
                <w:szCs w:val="24"/>
                <w:highlight w:val="none"/>
                <w:lang w:val="en-US" w:eastAsia="zh-CN"/>
              </w:rPr>
              <w:t>.5</w:t>
            </w:r>
            <w:r>
              <w:rPr>
                <w:rFonts w:hint="eastAsia" w:ascii="宋体" w:cs="宋体"/>
                <w:sz w:val="24"/>
                <w:szCs w:val="24"/>
                <w:highlight w:val="none"/>
              </w:rPr>
              <w:t>＜得分≤1）。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restart"/>
            <w:tcBorders>
              <w:tl2br w:val="nil"/>
              <w:tr2bl w:val="nil"/>
            </w:tcBorders>
            <w:vAlign w:val="center"/>
          </w:tcPr>
          <w:p>
            <w:pPr>
              <w:jc w:val="center"/>
              <w:rPr>
                <w:rFonts w:ascii="宋体" w:cs="宋体"/>
                <w:color w:val="auto"/>
                <w:sz w:val="24"/>
                <w:szCs w:val="24"/>
                <w:highlight w:val="none"/>
              </w:rPr>
            </w:pPr>
            <w:r>
              <w:rPr>
                <w:rFonts w:hint="eastAsia" w:ascii="宋体" w:cs="宋体"/>
                <w:sz w:val="24"/>
                <w:szCs w:val="24"/>
                <w:highlight w:val="none"/>
              </w:rPr>
              <w:t>技术创新的应用实施）（0-</w:t>
            </w:r>
            <w:r>
              <w:rPr>
                <w:rFonts w:ascii="宋体" w:cs="宋体"/>
                <w:sz w:val="24"/>
                <w:szCs w:val="24"/>
                <w:highlight w:val="none"/>
              </w:rPr>
              <w:t>2</w:t>
            </w:r>
            <w:r>
              <w:rPr>
                <w:rFonts w:hint="eastAsia" w:ascii="宋体" w:cs="宋体"/>
                <w:sz w:val="24"/>
                <w:szCs w:val="24"/>
                <w:highlight w:val="none"/>
              </w:rPr>
              <w:t>分）</w:t>
            </w:r>
          </w:p>
        </w:tc>
        <w:tc>
          <w:tcPr>
            <w:tcW w:w="5681" w:type="dxa"/>
            <w:gridSpan w:val="2"/>
            <w:tcBorders>
              <w:tl2br w:val="nil"/>
              <w:tr2bl w:val="nil"/>
            </w:tcBorders>
            <w:vAlign w:val="center"/>
          </w:tcPr>
          <w:p>
            <w:pPr>
              <w:rPr>
                <w:rFonts w:ascii="宋体" w:cs="宋体"/>
                <w:color w:val="auto"/>
                <w:sz w:val="24"/>
                <w:szCs w:val="24"/>
                <w:highlight w:val="none"/>
              </w:rPr>
            </w:pPr>
            <w:r>
              <w:rPr>
                <w:rFonts w:hint="eastAsia" w:ascii="宋体" w:cs="宋体"/>
                <w:sz w:val="24"/>
                <w:szCs w:val="24"/>
                <w:highlight w:val="none"/>
              </w:rPr>
              <w:t>（1）节能减排、（2）绿色施工、（3）工艺创新，具有针对性、可行性、经济适用性。（</w:t>
            </w:r>
            <w:r>
              <w:rPr>
                <w:rFonts w:hint="eastAsia" w:ascii="宋体" w:cs="宋体"/>
                <w:sz w:val="24"/>
                <w:szCs w:val="24"/>
                <w:highlight w:val="none"/>
                <w:lang w:val="en-US" w:eastAsia="zh-CN"/>
              </w:rPr>
              <w:t>1</w:t>
            </w:r>
            <w:r>
              <w:rPr>
                <w:rFonts w:hint="eastAsia" w:ascii="宋体" w:cs="宋体"/>
                <w:sz w:val="24"/>
                <w:szCs w:val="24"/>
                <w:highlight w:val="none"/>
              </w:rPr>
              <w:t>＜得分≤2）。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continue"/>
            <w:tcBorders>
              <w:tl2br w:val="nil"/>
              <w:tr2bl w:val="nil"/>
            </w:tcBorders>
            <w:vAlign w:val="center"/>
          </w:tcPr>
          <w:p>
            <w:pPr>
              <w:rPr>
                <w:color w:val="auto"/>
                <w:sz w:val="24"/>
                <w:szCs w:val="32"/>
                <w:highlight w:val="none"/>
              </w:rPr>
            </w:pPr>
          </w:p>
        </w:tc>
        <w:tc>
          <w:tcPr>
            <w:tcW w:w="5681" w:type="dxa"/>
            <w:gridSpan w:val="2"/>
            <w:tcBorders>
              <w:tl2br w:val="nil"/>
              <w:tr2bl w:val="nil"/>
            </w:tcBorders>
            <w:vAlign w:val="center"/>
          </w:tcPr>
          <w:p>
            <w:pPr>
              <w:rPr>
                <w:rFonts w:ascii="宋体" w:cs="宋体"/>
                <w:color w:val="auto"/>
                <w:sz w:val="24"/>
                <w:szCs w:val="24"/>
                <w:highlight w:val="none"/>
              </w:rPr>
            </w:pPr>
            <w:r>
              <w:rPr>
                <w:rFonts w:hint="eastAsia" w:ascii="宋体" w:cs="宋体"/>
                <w:spacing w:val="-8"/>
                <w:sz w:val="24"/>
                <w:szCs w:val="24"/>
                <w:highlight w:val="none"/>
              </w:rPr>
              <w:t>（1）节能减排、（2）绿色施工、（3）工艺创新等技术创新的应用实施措施基本符合工程情况，具有针</w:t>
            </w:r>
            <w:r>
              <w:rPr>
                <w:rFonts w:hint="eastAsia" w:ascii="宋体" w:cs="宋体"/>
                <w:sz w:val="24"/>
                <w:szCs w:val="24"/>
                <w:highlight w:val="none"/>
              </w:rPr>
              <w:t>对性。（</w:t>
            </w:r>
            <w:r>
              <w:rPr>
                <w:rFonts w:hint="eastAsia" w:ascii="宋体" w:cs="宋体"/>
                <w:sz w:val="24"/>
                <w:szCs w:val="24"/>
                <w:highlight w:val="none"/>
                <w:lang w:val="en-US" w:eastAsia="zh-CN"/>
              </w:rPr>
              <w:t>0.5</w:t>
            </w:r>
            <w:r>
              <w:rPr>
                <w:rFonts w:hint="eastAsia" w:ascii="宋体" w:cs="宋体"/>
                <w:sz w:val="24"/>
                <w:szCs w:val="24"/>
                <w:highlight w:val="none"/>
              </w:rPr>
              <w:t>＜得分≤</w:t>
            </w:r>
            <w:r>
              <w:rPr>
                <w:rFonts w:hint="eastAsia" w:ascii="宋体" w:cs="宋体"/>
                <w:sz w:val="24"/>
                <w:szCs w:val="24"/>
                <w:highlight w:val="none"/>
                <w:lang w:val="en-US" w:eastAsia="zh-CN"/>
              </w:rPr>
              <w:t>1</w:t>
            </w:r>
            <w:r>
              <w:rPr>
                <w:rFonts w:hint="eastAsia" w:ascii="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restart"/>
            <w:tcBorders>
              <w:tl2br w:val="nil"/>
              <w:tr2bl w:val="nil"/>
            </w:tcBorders>
            <w:vAlign w:val="center"/>
          </w:tcPr>
          <w:p>
            <w:pPr>
              <w:jc w:val="center"/>
              <w:rPr>
                <w:rFonts w:ascii="宋体" w:cs="宋体"/>
                <w:color w:val="auto"/>
                <w:sz w:val="24"/>
                <w:szCs w:val="24"/>
                <w:highlight w:val="none"/>
              </w:rPr>
            </w:pPr>
            <w:r>
              <w:rPr>
                <w:rFonts w:hint="eastAsia" w:ascii="宋体" w:cs="宋体"/>
                <w:sz w:val="24"/>
                <w:szCs w:val="24"/>
                <w:highlight w:val="none"/>
              </w:rPr>
              <w:t>采用新工艺、新技术、新设备、新材料的程度（0-</w:t>
            </w:r>
            <w:r>
              <w:rPr>
                <w:rFonts w:hint="eastAsia" w:ascii="宋体" w:cs="宋体"/>
                <w:sz w:val="24"/>
                <w:szCs w:val="24"/>
                <w:highlight w:val="none"/>
                <w:lang w:val="en-US" w:eastAsia="zh-CN"/>
              </w:rPr>
              <w:t>2</w:t>
            </w:r>
            <w:r>
              <w:rPr>
                <w:rFonts w:hint="eastAsia" w:ascii="宋体" w:cs="宋体"/>
                <w:sz w:val="24"/>
                <w:szCs w:val="24"/>
                <w:highlight w:val="none"/>
              </w:rPr>
              <w:t>分）</w:t>
            </w: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sz w:val="24"/>
                <w:szCs w:val="24"/>
                <w:highlight w:val="none"/>
              </w:rPr>
              <w:t>采用新工艺、新技术、新设备、</w:t>
            </w:r>
            <w:r>
              <w:rPr>
                <w:rFonts w:hint="eastAsia" w:ascii="宋体" w:cs="宋体"/>
                <w:spacing w:val="-8"/>
                <w:sz w:val="24"/>
                <w:szCs w:val="24"/>
                <w:highlight w:val="none"/>
              </w:rPr>
              <w:t>新材料的程度满足设计要求，符合施工需要和相应技术标准等规定，经济适用。</w:t>
            </w:r>
            <w:r>
              <w:rPr>
                <w:rFonts w:hint="eastAsia" w:ascii="宋体" w:cs="宋体"/>
                <w:sz w:val="24"/>
                <w:szCs w:val="24"/>
                <w:highlight w:val="none"/>
              </w:rPr>
              <w:t>（</w:t>
            </w:r>
            <w:r>
              <w:rPr>
                <w:rFonts w:hint="eastAsia" w:ascii="宋体" w:cs="宋体"/>
                <w:sz w:val="24"/>
                <w:szCs w:val="24"/>
                <w:highlight w:val="none"/>
                <w:lang w:val="en-US" w:eastAsia="zh-CN"/>
              </w:rPr>
              <w:t>1</w:t>
            </w:r>
            <w:r>
              <w:rPr>
                <w:rFonts w:hint="eastAsia" w:ascii="宋体" w:cs="宋体"/>
                <w:sz w:val="24"/>
                <w:szCs w:val="24"/>
                <w:highlight w:val="none"/>
              </w:rPr>
              <w:t>＜得分≤</w:t>
            </w:r>
            <w:r>
              <w:rPr>
                <w:rFonts w:hint="eastAsia" w:ascii="宋体" w:cs="宋体"/>
                <w:sz w:val="24"/>
                <w:szCs w:val="24"/>
                <w:highlight w:val="none"/>
                <w:lang w:val="en-US" w:eastAsia="zh-CN"/>
              </w:rPr>
              <w:t>2</w:t>
            </w:r>
            <w:r>
              <w:rPr>
                <w:rFonts w:hint="eastAsia" w:ascii="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continue"/>
            <w:tcBorders>
              <w:tl2br w:val="nil"/>
              <w:tr2bl w:val="nil"/>
            </w:tcBorders>
            <w:vAlign w:val="center"/>
          </w:tcPr>
          <w:p>
            <w:pPr>
              <w:rPr>
                <w:color w:val="auto"/>
                <w:sz w:val="24"/>
                <w:szCs w:val="32"/>
                <w:highlight w:val="none"/>
              </w:rPr>
            </w:pP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sz w:val="24"/>
                <w:szCs w:val="24"/>
                <w:highlight w:val="none"/>
              </w:rPr>
              <w:t>采用新工艺、新技术、新设备、新材料的程度满足设计要求，基本符合施工要求和相应技术标准等规定。（</w:t>
            </w:r>
            <w:r>
              <w:rPr>
                <w:rFonts w:hint="eastAsia" w:ascii="宋体" w:cs="宋体"/>
                <w:sz w:val="24"/>
                <w:szCs w:val="24"/>
                <w:highlight w:val="none"/>
                <w:lang w:val="en-US" w:eastAsia="zh-CN"/>
              </w:rPr>
              <w:t>0.5</w:t>
            </w:r>
            <w:r>
              <w:rPr>
                <w:rFonts w:hint="eastAsia" w:ascii="宋体" w:cs="宋体"/>
                <w:sz w:val="24"/>
                <w:szCs w:val="24"/>
                <w:highlight w:val="none"/>
              </w:rPr>
              <w:t>＜得分≤</w:t>
            </w:r>
            <w:r>
              <w:rPr>
                <w:rFonts w:hint="eastAsia" w:ascii="宋体" w:cs="宋体"/>
                <w:sz w:val="24"/>
                <w:szCs w:val="24"/>
                <w:highlight w:val="none"/>
                <w:lang w:val="en-US" w:eastAsia="zh-CN"/>
              </w:rPr>
              <w:t>1</w:t>
            </w:r>
            <w:r>
              <w:rPr>
                <w:rFonts w:hint="eastAsia" w:ascii="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restart"/>
            <w:tcBorders>
              <w:tl2br w:val="nil"/>
              <w:tr2bl w:val="nil"/>
            </w:tcBorders>
            <w:vAlign w:val="center"/>
          </w:tcPr>
          <w:p>
            <w:pPr>
              <w:jc w:val="center"/>
              <w:rPr>
                <w:rFonts w:ascii="宋体" w:cs="宋体"/>
                <w:color w:val="auto"/>
                <w:sz w:val="24"/>
                <w:szCs w:val="24"/>
                <w:highlight w:val="none"/>
              </w:rPr>
            </w:pPr>
            <w:r>
              <w:rPr>
                <w:rFonts w:hint="eastAsia" w:ascii="宋体" w:cs="宋体"/>
                <w:color w:val="auto"/>
                <w:sz w:val="24"/>
                <w:szCs w:val="24"/>
                <w:highlight w:val="none"/>
              </w:rPr>
              <w:t>风险管理措施</w:t>
            </w:r>
          </w:p>
          <w:p>
            <w:pPr>
              <w:jc w:val="center"/>
              <w:rPr>
                <w:rFonts w:ascii="宋体" w:cs="宋体"/>
                <w:color w:val="auto"/>
                <w:sz w:val="24"/>
                <w:szCs w:val="24"/>
                <w:highlight w:val="none"/>
              </w:rPr>
            </w:pPr>
            <w:r>
              <w:rPr>
                <w:rFonts w:hint="eastAsia" w:ascii="宋体" w:cs="宋体"/>
                <w:color w:val="auto"/>
                <w:sz w:val="24"/>
                <w:szCs w:val="24"/>
                <w:highlight w:val="none"/>
              </w:rPr>
              <w:t>（（</w:t>
            </w:r>
            <w:r>
              <w:rPr>
                <w:rFonts w:ascii="宋体" w:cs="宋体"/>
                <w:color w:val="auto"/>
                <w:sz w:val="24"/>
                <w:szCs w:val="24"/>
                <w:highlight w:val="none"/>
              </w:rPr>
              <w:t>0</w:t>
            </w:r>
            <w:r>
              <w:rPr>
                <w:rFonts w:hint="eastAsia" w:ascii="宋体" w:cs="宋体"/>
                <w:color w:val="auto"/>
                <w:sz w:val="24"/>
                <w:szCs w:val="24"/>
                <w:highlight w:val="none"/>
              </w:rPr>
              <w:t>-</w:t>
            </w:r>
            <w:r>
              <w:rPr>
                <w:rFonts w:ascii="宋体" w:cs="宋体"/>
                <w:color w:val="auto"/>
                <w:sz w:val="24"/>
                <w:szCs w:val="24"/>
                <w:highlight w:val="none"/>
              </w:rPr>
              <w:t>2</w:t>
            </w:r>
            <w:r>
              <w:rPr>
                <w:rFonts w:hint="eastAsia" w:ascii="宋体" w:cs="宋体"/>
                <w:color w:val="auto"/>
                <w:sz w:val="24"/>
                <w:szCs w:val="24"/>
                <w:highlight w:val="none"/>
              </w:rPr>
              <w:t>分）</w:t>
            </w: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color w:val="auto"/>
                <w:sz w:val="24"/>
                <w:szCs w:val="24"/>
                <w:highlight w:val="none"/>
              </w:rPr>
              <w:t>风险防控管理措施齐全，风险预控符合规范要求，风险控制要点定位准确，各阶段风险控制及应急措施得力。（1＜得分≤2）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868" w:type="dxa"/>
            <w:gridSpan w:val="2"/>
            <w:vMerge w:val="continue"/>
            <w:tcBorders>
              <w:tl2br w:val="nil"/>
              <w:tr2bl w:val="nil"/>
            </w:tcBorders>
          </w:tcPr>
          <w:p>
            <w:pPr>
              <w:rPr>
                <w:color w:val="auto"/>
                <w:sz w:val="24"/>
                <w:szCs w:val="32"/>
                <w:highlight w:val="none"/>
              </w:rPr>
            </w:pPr>
          </w:p>
        </w:tc>
        <w:tc>
          <w:tcPr>
            <w:tcW w:w="1116" w:type="dxa"/>
            <w:gridSpan w:val="2"/>
            <w:vMerge w:val="continue"/>
            <w:tcBorders>
              <w:tl2br w:val="nil"/>
              <w:tr2bl w:val="nil"/>
            </w:tcBorders>
          </w:tcPr>
          <w:p>
            <w:pPr>
              <w:rPr>
                <w:color w:val="auto"/>
                <w:sz w:val="24"/>
                <w:szCs w:val="32"/>
                <w:highlight w:val="none"/>
              </w:rPr>
            </w:pPr>
          </w:p>
        </w:tc>
        <w:tc>
          <w:tcPr>
            <w:tcW w:w="2216" w:type="dxa"/>
            <w:vMerge w:val="continue"/>
            <w:tcBorders>
              <w:tl2br w:val="nil"/>
              <w:tr2bl w:val="nil"/>
            </w:tcBorders>
            <w:vAlign w:val="center"/>
          </w:tcPr>
          <w:p>
            <w:pPr>
              <w:rPr>
                <w:color w:val="auto"/>
                <w:sz w:val="24"/>
                <w:szCs w:val="32"/>
                <w:highlight w:val="none"/>
              </w:rPr>
            </w:pPr>
          </w:p>
        </w:tc>
        <w:tc>
          <w:tcPr>
            <w:tcW w:w="5681" w:type="dxa"/>
            <w:gridSpan w:val="2"/>
            <w:tcBorders>
              <w:tl2br w:val="nil"/>
              <w:tr2bl w:val="nil"/>
            </w:tcBorders>
            <w:vAlign w:val="center"/>
          </w:tcPr>
          <w:p>
            <w:pPr>
              <w:ind w:firstLine="480" w:firstLineChars="200"/>
              <w:rPr>
                <w:rFonts w:ascii="宋体" w:cs="宋体"/>
                <w:color w:val="auto"/>
                <w:sz w:val="24"/>
                <w:szCs w:val="24"/>
                <w:highlight w:val="none"/>
              </w:rPr>
            </w:pPr>
            <w:r>
              <w:rPr>
                <w:rFonts w:hint="eastAsia" w:ascii="宋体" w:cs="宋体"/>
                <w:color w:val="auto"/>
                <w:sz w:val="24"/>
                <w:szCs w:val="24"/>
                <w:highlight w:val="none"/>
              </w:rPr>
              <w:t>风险防控管理措施基本齐全，风险预控符合规范要求，风险控制要点定位基本准确，有各阶段风险控制及应急措施。（0</w:t>
            </w:r>
            <w:r>
              <w:rPr>
                <w:rFonts w:hint="eastAsia" w:ascii="宋体" w:cs="宋体"/>
                <w:color w:val="auto"/>
                <w:sz w:val="24"/>
                <w:szCs w:val="24"/>
                <w:highlight w:val="none"/>
                <w:lang w:val="en-US" w:eastAsia="zh-CN"/>
              </w:rPr>
              <w:t>.5</w:t>
            </w:r>
            <w:r>
              <w:rPr>
                <w:rFonts w:hint="eastAsia" w:ascii="宋体" w:cs="宋体"/>
                <w:color w:val="auto"/>
                <w:sz w:val="24"/>
                <w:szCs w:val="24"/>
                <w:highlight w:val="none"/>
              </w:rPr>
              <w:t>≤得分≤1）。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jc w:val="center"/>
        </w:trPr>
        <w:tc>
          <w:tcPr>
            <w:tcW w:w="868" w:type="dxa"/>
            <w:gridSpan w:val="2"/>
            <w:vMerge w:val="restart"/>
            <w:tcBorders>
              <w:tl2br w:val="nil"/>
              <w:tr2bl w:val="nil"/>
            </w:tcBorders>
            <w:vAlign w:val="center"/>
          </w:tcPr>
          <w:p>
            <w:pPr>
              <w:adjustRightInd w:val="0"/>
              <w:textAlignment w:val="baseline"/>
              <w:rPr>
                <w:rFonts w:ascii="宋体" w:cs="宋体"/>
                <w:color w:val="auto"/>
                <w:sz w:val="24"/>
                <w:szCs w:val="24"/>
                <w:highlight w:val="none"/>
              </w:rPr>
            </w:pPr>
            <w:r>
              <w:rPr>
                <w:rFonts w:hint="eastAsia" w:ascii="宋体" w:cs="宋体"/>
                <w:color w:val="auto"/>
                <w:sz w:val="24"/>
                <w:szCs w:val="24"/>
                <w:highlight w:val="none"/>
              </w:rPr>
              <w:t>2.2.4</w:t>
            </w:r>
          </w:p>
          <w:p>
            <w:pPr>
              <w:adjustRightInd w:val="0"/>
              <w:ind w:firstLine="120" w:firstLineChars="50"/>
              <w:textAlignment w:val="baseline"/>
              <w:rPr>
                <w:rFonts w:ascii="宋体" w:cs="宋体"/>
                <w:color w:val="auto"/>
                <w:sz w:val="24"/>
                <w:szCs w:val="24"/>
                <w:highlight w:val="none"/>
              </w:rPr>
            </w:pPr>
            <w:r>
              <w:rPr>
                <w:rFonts w:hint="eastAsia" w:ascii="宋体" w:cs="宋体"/>
                <w:color w:val="auto"/>
                <w:sz w:val="24"/>
                <w:szCs w:val="24"/>
                <w:highlight w:val="none"/>
              </w:rPr>
              <w:t>(2)</w:t>
            </w:r>
          </w:p>
        </w:tc>
        <w:tc>
          <w:tcPr>
            <w:tcW w:w="1116" w:type="dxa"/>
            <w:gridSpan w:val="2"/>
            <w:vMerge w:val="restart"/>
            <w:tcBorders>
              <w:tl2br w:val="nil"/>
              <w:tr2bl w:val="nil"/>
            </w:tcBorders>
            <w:vAlign w:val="center"/>
          </w:tcPr>
          <w:p>
            <w:pPr>
              <w:adjustRightInd w:val="0"/>
              <w:textAlignment w:val="baseline"/>
              <w:rPr>
                <w:rFonts w:ascii="宋体" w:cs="宋体"/>
                <w:bCs/>
                <w:color w:val="auto"/>
                <w:sz w:val="24"/>
                <w:szCs w:val="24"/>
                <w:highlight w:val="none"/>
              </w:rPr>
            </w:pPr>
            <w:r>
              <w:rPr>
                <w:rFonts w:hint="eastAsia" w:ascii="宋体" w:cs="宋体"/>
                <w:color w:val="auto"/>
                <w:kern w:val="0"/>
                <w:sz w:val="24"/>
                <w:szCs w:val="24"/>
                <w:highlight w:val="none"/>
              </w:rPr>
              <w:t>商务</w:t>
            </w:r>
            <w:r>
              <w:rPr>
                <w:rFonts w:hint="eastAsia" w:ascii="宋体" w:cs="宋体"/>
                <w:bCs/>
                <w:color w:val="auto"/>
                <w:sz w:val="24"/>
                <w:szCs w:val="24"/>
                <w:highlight w:val="none"/>
              </w:rPr>
              <w:t>标(</w:t>
            </w:r>
            <w:r>
              <w:rPr>
                <w:rFonts w:hint="eastAsia" w:ascii="宋体" w:cs="宋体"/>
                <w:bCs/>
                <w:color w:val="auto"/>
                <w:sz w:val="24"/>
                <w:szCs w:val="24"/>
                <w:highlight w:val="none"/>
                <w:lang w:val="en-US" w:eastAsia="zh-CN"/>
              </w:rPr>
              <w:t>50</w:t>
            </w:r>
            <w:r>
              <w:rPr>
                <w:rFonts w:ascii="宋体" w:cs="宋体"/>
                <w:bCs/>
                <w:color w:val="auto"/>
                <w:sz w:val="24"/>
                <w:szCs w:val="24"/>
                <w:highlight w:val="none"/>
              </w:rPr>
              <w:t>分</w:t>
            </w:r>
            <w:r>
              <w:rPr>
                <w:rFonts w:hint="eastAsia" w:ascii="宋体" w:cs="宋体"/>
                <w:bCs/>
                <w:color w:val="auto"/>
                <w:sz w:val="24"/>
                <w:szCs w:val="24"/>
                <w:highlight w:val="none"/>
              </w:rPr>
              <w:t>)</w:t>
            </w:r>
          </w:p>
        </w:tc>
        <w:tc>
          <w:tcPr>
            <w:tcW w:w="2216" w:type="dxa"/>
            <w:tcBorders>
              <w:tl2br w:val="nil"/>
              <w:tr2bl w:val="nil"/>
            </w:tcBorders>
            <w:vAlign w:val="center"/>
          </w:tcPr>
          <w:p>
            <w:pPr>
              <w:spacing w:line="360" w:lineRule="auto"/>
              <w:jc w:val="center"/>
              <w:rPr>
                <w:rFonts w:ascii="宋体" w:cs="宋体"/>
                <w:color w:val="auto"/>
                <w:sz w:val="24"/>
                <w:szCs w:val="24"/>
                <w:highlight w:val="none"/>
              </w:rPr>
            </w:pPr>
            <w:r>
              <w:rPr>
                <w:rFonts w:hint="eastAsia" w:ascii="宋体" w:cs="宋体"/>
                <w:color w:val="auto"/>
                <w:sz w:val="24"/>
                <w:szCs w:val="24"/>
                <w:highlight w:val="none"/>
              </w:rPr>
              <w:t>投标报价</w:t>
            </w:r>
          </w:p>
          <w:p>
            <w:pPr>
              <w:adjustRightInd w:val="0"/>
              <w:jc w:val="center"/>
              <w:textAlignment w:val="baseline"/>
              <w:rPr>
                <w:rFonts w:ascii="宋体" w:cs="宋体"/>
                <w:color w:val="auto"/>
                <w:sz w:val="24"/>
                <w:szCs w:val="24"/>
                <w:highlight w:val="none"/>
              </w:rPr>
            </w:pPr>
            <w:r>
              <w:rPr>
                <w:rFonts w:hint="eastAsia" w:ascii="宋体" w:cs="宋体"/>
                <w:color w:val="auto"/>
                <w:sz w:val="24"/>
                <w:szCs w:val="24"/>
                <w:highlight w:val="none"/>
              </w:rPr>
              <w:t>（30分）</w:t>
            </w:r>
          </w:p>
        </w:tc>
        <w:tc>
          <w:tcPr>
            <w:tcW w:w="5681" w:type="dxa"/>
            <w:gridSpan w:val="2"/>
            <w:tcBorders>
              <w:tl2br w:val="nil"/>
              <w:tr2bl w:val="nil"/>
            </w:tcBorders>
            <w:vAlign w:val="center"/>
          </w:tcPr>
          <w:p>
            <w:pPr>
              <w:ind w:firstLine="480" w:firstLineChars="200"/>
              <w:jc w:val="left"/>
              <w:rPr>
                <w:rFonts w:ascii="宋体" w:cs="宋体"/>
                <w:bCs/>
                <w:color w:val="auto"/>
                <w:sz w:val="24"/>
                <w:szCs w:val="24"/>
                <w:highlight w:val="none"/>
              </w:rPr>
            </w:pPr>
            <w:r>
              <w:rPr>
                <w:rFonts w:hint="eastAsia" w:ascii="宋体" w:cs="宋体"/>
                <w:bCs/>
                <w:color w:val="auto"/>
                <w:sz w:val="24"/>
                <w:szCs w:val="24"/>
                <w:highlight w:val="none"/>
              </w:rPr>
              <w:t>当投标报价与评标基准价相等时，得基本分2</w:t>
            </w:r>
            <w:r>
              <w:rPr>
                <w:rFonts w:hint="eastAsia" w:ascii="宋体" w:cs="宋体"/>
                <w:bCs/>
                <w:color w:val="auto"/>
                <w:sz w:val="24"/>
                <w:szCs w:val="24"/>
                <w:highlight w:val="none"/>
                <w:lang w:val="en-US" w:eastAsia="zh-CN"/>
              </w:rPr>
              <w:t>5</w:t>
            </w:r>
            <w:r>
              <w:rPr>
                <w:rFonts w:hint="eastAsia" w:ascii="宋体" w:cs="宋体"/>
                <w:bCs/>
                <w:color w:val="auto"/>
                <w:sz w:val="24"/>
                <w:szCs w:val="24"/>
                <w:highlight w:val="none"/>
              </w:rPr>
              <w:t>分。当投标报价低于评标基准价时，每低1%范围内在基本分2</w:t>
            </w:r>
            <w:r>
              <w:rPr>
                <w:rFonts w:hint="eastAsia" w:ascii="宋体" w:cs="宋体"/>
                <w:bCs/>
                <w:color w:val="auto"/>
                <w:sz w:val="24"/>
                <w:szCs w:val="24"/>
                <w:highlight w:val="none"/>
                <w:lang w:val="en-US" w:eastAsia="zh-CN"/>
              </w:rPr>
              <w:t>5</w:t>
            </w:r>
            <w:r>
              <w:rPr>
                <w:rFonts w:hint="eastAsia" w:ascii="宋体" w:cs="宋体"/>
                <w:bCs/>
                <w:color w:val="auto"/>
                <w:sz w:val="24"/>
                <w:szCs w:val="24"/>
                <w:highlight w:val="none"/>
              </w:rPr>
              <w:t>分的基础上加</w:t>
            </w:r>
            <w:r>
              <w:rPr>
                <w:rFonts w:hint="eastAsia" w:ascii="宋体" w:cs="宋体"/>
                <w:bCs/>
                <w:color w:val="auto"/>
                <w:sz w:val="24"/>
                <w:szCs w:val="24"/>
                <w:highlight w:val="none"/>
                <w:lang w:val="en-US" w:eastAsia="zh-CN"/>
              </w:rPr>
              <w:t>1</w:t>
            </w:r>
            <w:r>
              <w:rPr>
                <w:rFonts w:ascii="宋体" w:cs="宋体"/>
                <w:bCs/>
                <w:color w:val="auto"/>
                <w:sz w:val="24"/>
                <w:szCs w:val="24"/>
                <w:highlight w:val="none"/>
              </w:rPr>
              <w:t>分</w:t>
            </w:r>
            <w:r>
              <w:rPr>
                <w:rFonts w:hint="eastAsia" w:ascii="宋体" w:cs="宋体"/>
                <w:bCs/>
                <w:color w:val="auto"/>
                <w:sz w:val="24"/>
                <w:szCs w:val="24"/>
                <w:highlight w:val="none"/>
              </w:rPr>
              <w:t>，最多加</w:t>
            </w:r>
            <w:r>
              <w:rPr>
                <w:rFonts w:hint="eastAsia" w:ascii="宋体" w:cs="宋体"/>
                <w:bCs/>
                <w:color w:val="auto"/>
                <w:sz w:val="24"/>
                <w:szCs w:val="24"/>
                <w:highlight w:val="none"/>
                <w:lang w:val="en-US" w:eastAsia="zh-CN"/>
              </w:rPr>
              <w:t>5</w:t>
            </w:r>
            <w:r>
              <w:rPr>
                <w:rFonts w:ascii="宋体" w:cs="宋体"/>
                <w:bCs/>
                <w:color w:val="auto"/>
                <w:sz w:val="24"/>
                <w:szCs w:val="24"/>
                <w:highlight w:val="none"/>
              </w:rPr>
              <w:t>分</w:t>
            </w:r>
            <w:r>
              <w:rPr>
                <w:rFonts w:hint="eastAsia" w:ascii="宋体" w:cs="宋体"/>
                <w:bCs/>
                <w:color w:val="auto"/>
                <w:sz w:val="24"/>
                <w:szCs w:val="24"/>
                <w:highlight w:val="none"/>
              </w:rPr>
              <w:t>；当投标报价低于评标基准价5%以上（不含5%）时，每再低1%范围内在满分30</w:t>
            </w:r>
            <w:r>
              <w:rPr>
                <w:rFonts w:ascii="宋体" w:cs="宋体"/>
                <w:bCs/>
                <w:color w:val="auto"/>
                <w:sz w:val="24"/>
                <w:szCs w:val="24"/>
                <w:highlight w:val="none"/>
              </w:rPr>
              <w:t>分</w:t>
            </w:r>
            <w:r>
              <w:rPr>
                <w:rFonts w:hint="eastAsia" w:ascii="宋体" w:cs="宋体"/>
                <w:bCs/>
                <w:color w:val="auto"/>
                <w:sz w:val="24"/>
                <w:szCs w:val="24"/>
                <w:highlight w:val="none"/>
              </w:rPr>
              <w:t>的基础上扣3</w:t>
            </w:r>
            <w:r>
              <w:rPr>
                <w:rFonts w:ascii="宋体" w:cs="宋体"/>
                <w:bCs/>
                <w:color w:val="auto"/>
                <w:sz w:val="24"/>
                <w:szCs w:val="24"/>
                <w:highlight w:val="none"/>
              </w:rPr>
              <w:t>分</w:t>
            </w:r>
            <w:r>
              <w:rPr>
                <w:rFonts w:hint="eastAsia" w:ascii="宋体" w:cs="宋体"/>
                <w:bCs/>
                <w:color w:val="auto"/>
                <w:sz w:val="24"/>
                <w:szCs w:val="24"/>
                <w:highlight w:val="none"/>
              </w:rPr>
              <w:t>，扣完为止；当投标报价高于评标基准价时，每高1%范围内在基本分2</w:t>
            </w:r>
            <w:r>
              <w:rPr>
                <w:rFonts w:hint="eastAsia" w:ascii="宋体" w:cs="宋体"/>
                <w:bCs/>
                <w:color w:val="auto"/>
                <w:sz w:val="24"/>
                <w:szCs w:val="24"/>
                <w:highlight w:val="none"/>
                <w:lang w:val="en-US" w:eastAsia="zh-CN"/>
              </w:rPr>
              <w:t>5</w:t>
            </w:r>
            <w:r>
              <w:rPr>
                <w:rFonts w:hint="eastAsia" w:ascii="宋体" w:cs="宋体"/>
                <w:bCs/>
                <w:color w:val="auto"/>
                <w:sz w:val="24"/>
                <w:szCs w:val="24"/>
                <w:highlight w:val="none"/>
              </w:rPr>
              <w:t>分的基础上扣</w:t>
            </w:r>
            <w:r>
              <w:rPr>
                <w:rFonts w:ascii="宋体" w:cs="宋体"/>
                <w:bCs/>
                <w:color w:val="auto"/>
                <w:sz w:val="24"/>
                <w:szCs w:val="24"/>
                <w:highlight w:val="none"/>
              </w:rPr>
              <w:t>1分</w:t>
            </w:r>
            <w:r>
              <w:rPr>
                <w:rFonts w:hint="eastAsia" w:ascii="宋体" w:cs="宋体"/>
                <w:bCs/>
                <w:color w:val="auto"/>
                <w:sz w:val="24"/>
                <w:szCs w:val="24"/>
                <w:highlight w:val="none"/>
              </w:rPr>
              <w:t>，扣完为止。</w:t>
            </w:r>
          </w:p>
          <w:p>
            <w:pPr>
              <w:ind w:firstLine="480" w:firstLineChars="200"/>
              <w:jc w:val="left"/>
              <w:rPr>
                <w:rFonts w:ascii="宋体" w:cs="宋体"/>
                <w:color w:val="auto"/>
                <w:sz w:val="24"/>
                <w:szCs w:val="24"/>
                <w:highlight w:val="none"/>
              </w:rPr>
            </w:pPr>
            <w:r>
              <w:rPr>
                <w:rFonts w:hint="eastAsia" w:ascii="宋体" w:cs="宋体"/>
                <w:bCs/>
                <w:color w:val="auto"/>
                <w:sz w:val="24"/>
                <w:szCs w:val="24"/>
                <w:highlight w:val="none"/>
              </w:rPr>
              <w:t>注：投标报价均不含:规费、</w:t>
            </w:r>
            <w:r>
              <w:rPr>
                <w:rFonts w:hint="eastAsia" w:ascii="宋体" w:cs="宋体"/>
                <w:bCs/>
                <w:color w:val="auto"/>
                <w:sz w:val="24"/>
                <w:szCs w:val="24"/>
                <w:highlight w:val="none"/>
                <w:lang w:eastAsia="zh-CN"/>
              </w:rPr>
              <w:t>安全文明施工费</w:t>
            </w:r>
            <w:r>
              <w:rPr>
                <w:rFonts w:hint="eastAsia" w:ascii="宋体" w:cs="宋体"/>
                <w:bCs/>
                <w:color w:val="auto"/>
                <w:sz w:val="24"/>
                <w:szCs w:val="24"/>
                <w:highlight w:val="none"/>
              </w:rPr>
              <w:t>、</w:t>
            </w:r>
            <w:r>
              <w:rPr>
                <w:rFonts w:hint="eastAsia" w:ascii="宋体" w:cs="宋体"/>
                <w:bCs/>
                <w:color w:val="auto"/>
                <w:sz w:val="24"/>
                <w:szCs w:val="24"/>
                <w:highlight w:val="none"/>
                <w:lang w:val="en-US" w:eastAsia="zh-CN"/>
              </w:rPr>
              <w:t>专业暂估价</w:t>
            </w:r>
            <w:r>
              <w:rPr>
                <w:rFonts w:hint="eastAsia" w:ascii="宋体" w:cs="宋体"/>
                <w:bCs/>
                <w:color w:val="auto"/>
                <w:sz w:val="24"/>
                <w:szCs w:val="24"/>
                <w:highlight w:val="none"/>
                <w:lang w:eastAsia="zh-CN"/>
              </w:rPr>
              <w:t>、</w:t>
            </w:r>
            <w:r>
              <w:rPr>
                <w:rFonts w:hint="eastAsia" w:ascii="宋体" w:cs="宋体"/>
                <w:bCs/>
                <w:color w:val="auto"/>
                <w:sz w:val="24"/>
                <w:szCs w:val="24"/>
                <w:highlight w:val="none"/>
              </w:rPr>
              <w:t>增值税。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68" w:type="dxa"/>
            <w:gridSpan w:val="2"/>
            <w:vMerge w:val="continue"/>
            <w:tcBorders>
              <w:tl2br w:val="nil"/>
              <w:tr2bl w:val="nil"/>
            </w:tcBorders>
            <w:vAlign w:val="center"/>
          </w:tcPr>
          <w:p>
            <w:pPr>
              <w:rPr>
                <w:color w:val="auto"/>
                <w:sz w:val="24"/>
                <w:szCs w:val="32"/>
                <w:highlight w:val="none"/>
              </w:rPr>
            </w:pPr>
          </w:p>
        </w:tc>
        <w:tc>
          <w:tcPr>
            <w:tcW w:w="1116" w:type="dxa"/>
            <w:gridSpan w:val="2"/>
            <w:vMerge w:val="continue"/>
            <w:tcBorders>
              <w:tl2br w:val="nil"/>
              <w:tr2bl w:val="nil"/>
            </w:tcBorders>
            <w:vAlign w:val="center"/>
          </w:tcPr>
          <w:p>
            <w:pPr>
              <w:rPr>
                <w:color w:val="auto"/>
                <w:sz w:val="24"/>
                <w:szCs w:val="32"/>
                <w:highlight w:val="none"/>
              </w:rPr>
            </w:pPr>
          </w:p>
        </w:tc>
        <w:tc>
          <w:tcPr>
            <w:tcW w:w="2216" w:type="dxa"/>
            <w:tcBorders>
              <w:tl2br w:val="nil"/>
              <w:tr2bl w:val="nil"/>
            </w:tcBorders>
            <w:vAlign w:val="center"/>
          </w:tcPr>
          <w:p>
            <w:pPr>
              <w:adjustRightInd w:val="0"/>
              <w:jc w:val="center"/>
              <w:textAlignment w:val="baseline"/>
              <w:rPr>
                <w:rFonts w:ascii="宋体" w:cs="宋体"/>
                <w:kern w:val="0"/>
                <w:sz w:val="24"/>
                <w:szCs w:val="24"/>
                <w:highlight w:val="none"/>
              </w:rPr>
            </w:pPr>
            <w:r>
              <w:rPr>
                <w:rFonts w:hint="eastAsia" w:ascii="宋体" w:cs="宋体"/>
                <w:kern w:val="0"/>
                <w:sz w:val="24"/>
                <w:szCs w:val="24"/>
                <w:highlight w:val="none"/>
              </w:rPr>
              <w:t>分部分项工程项目清单单价评审</w:t>
            </w:r>
          </w:p>
          <w:p>
            <w:pPr>
              <w:adjustRightInd w:val="0"/>
              <w:jc w:val="center"/>
              <w:textAlignment w:val="baseline"/>
              <w:rPr>
                <w:rFonts w:ascii="宋体" w:cs="宋体"/>
                <w:color w:val="auto"/>
                <w:kern w:val="0"/>
                <w:sz w:val="24"/>
                <w:szCs w:val="24"/>
                <w:highlight w:val="none"/>
              </w:rPr>
            </w:pPr>
            <w:r>
              <w:rPr>
                <w:rFonts w:hint="eastAsia" w:ascii="宋体" w:cs="宋体"/>
                <w:kern w:val="0"/>
                <w:sz w:val="24"/>
                <w:szCs w:val="24"/>
                <w:highlight w:val="none"/>
              </w:rPr>
              <w:t>（</w:t>
            </w:r>
            <w:r>
              <w:rPr>
                <w:rFonts w:hint="eastAsia" w:ascii="宋体" w:cs="宋体"/>
                <w:sz w:val="24"/>
                <w:szCs w:val="24"/>
                <w:highlight w:val="none"/>
              </w:rPr>
              <w:t>10分）</w:t>
            </w:r>
          </w:p>
        </w:tc>
        <w:tc>
          <w:tcPr>
            <w:tcW w:w="5681" w:type="dxa"/>
            <w:gridSpan w:val="2"/>
            <w:tcBorders>
              <w:tl2br w:val="nil"/>
              <w:tr2bl w:val="nil"/>
            </w:tcBorders>
            <w:vAlign w:val="center"/>
          </w:tcPr>
          <w:p>
            <w:pPr>
              <w:adjustRightInd w:val="0"/>
              <w:ind w:firstLine="480" w:firstLineChars="200"/>
              <w:jc w:val="left"/>
              <w:textAlignment w:val="baseline"/>
              <w:rPr>
                <w:rFonts w:ascii="宋体" w:cs="宋体"/>
                <w:sz w:val="24"/>
                <w:szCs w:val="24"/>
                <w:highlight w:val="none"/>
              </w:rPr>
            </w:pPr>
            <w:r>
              <w:rPr>
                <w:rFonts w:hint="eastAsia" w:ascii="宋体" w:cs="宋体"/>
                <w:sz w:val="24"/>
                <w:szCs w:val="24"/>
                <w:highlight w:val="none"/>
              </w:rPr>
              <w:t>从最高投标限价中分部分项工程项目权重最大的前10-30项清单项目中抽取15项，在剩余的分部分项工程项目清单项目中抽取 5 项。</w:t>
            </w:r>
          </w:p>
          <w:p>
            <w:pPr>
              <w:adjustRightInd w:val="0"/>
              <w:ind w:firstLine="480" w:firstLineChars="200"/>
              <w:jc w:val="left"/>
              <w:textAlignment w:val="baseline"/>
              <w:rPr>
                <w:rFonts w:ascii="宋体" w:cs="宋体"/>
                <w:sz w:val="24"/>
                <w:szCs w:val="24"/>
                <w:highlight w:val="none"/>
              </w:rPr>
            </w:pPr>
            <w:r>
              <w:rPr>
                <w:rFonts w:hint="eastAsia" w:ascii="宋体" w:cs="宋体"/>
                <w:sz w:val="24"/>
                <w:szCs w:val="24"/>
                <w:highlight w:val="none"/>
              </w:rPr>
              <w:t>综合单价基准值是以各有效投标报价中（当有效投标人5名及以上时，去掉1个最高、1个最低值）对应抽取清单项目综合单价的算术平均值。</w:t>
            </w:r>
          </w:p>
          <w:p>
            <w:pPr>
              <w:adjustRightInd w:val="0"/>
              <w:ind w:firstLine="480" w:firstLineChars="200"/>
              <w:jc w:val="left"/>
              <w:textAlignment w:val="baseline"/>
              <w:rPr>
                <w:rFonts w:ascii="宋体" w:cs="宋体"/>
                <w:color w:val="auto"/>
                <w:sz w:val="24"/>
                <w:szCs w:val="24"/>
                <w:highlight w:val="none"/>
              </w:rPr>
            </w:pPr>
            <w:r>
              <w:rPr>
                <w:rFonts w:hint="eastAsia" w:ascii="宋体" w:cs="宋体"/>
                <w:sz w:val="24"/>
                <w:szCs w:val="24"/>
                <w:highlight w:val="none"/>
              </w:rPr>
              <w:t>投标人报价在综合单价基准值95%–103%范围内（不含95%和103%）的，每项得0.5分；在综合单价基准值90%–95%范围内（含90%和95%）每项得0.25分。满分共计10分。超出该范围的不得分。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868" w:type="dxa"/>
            <w:gridSpan w:val="2"/>
            <w:vMerge w:val="continue"/>
            <w:tcBorders>
              <w:tl2br w:val="nil"/>
              <w:tr2bl w:val="nil"/>
            </w:tcBorders>
            <w:vAlign w:val="center"/>
          </w:tcPr>
          <w:p>
            <w:pPr>
              <w:rPr>
                <w:color w:val="auto"/>
                <w:sz w:val="24"/>
                <w:szCs w:val="32"/>
                <w:highlight w:val="none"/>
              </w:rPr>
            </w:pPr>
          </w:p>
        </w:tc>
        <w:tc>
          <w:tcPr>
            <w:tcW w:w="1116" w:type="dxa"/>
            <w:gridSpan w:val="2"/>
            <w:vMerge w:val="continue"/>
            <w:tcBorders>
              <w:tl2br w:val="nil"/>
              <w:tr2bl w:val="nil"/>
            </w:tcBorders>
            <w:vAlign w:val="center"/>
          </w:tcPr>
          <w:p>
            <w:pPr>
              <w:rPr>
                <w:color w:val="auto"/>
                <w:sz w:val="24"/>
                <w:szCs w:val="32"/>
                <w:highlight w:val="none"/>
              </w:rPr>
            </w:pPr>
          </w:p>
        </w:tc>
        <w:tc>
          <w:tcPr>
            <w:tcW w:w="2216" w:type="dxa"/>
            <w:tcBorders>
              <w:tl2br w:val="nil"/>
              <w:tr2bl w:val="nil"/>
            </w:tcBorders>
            <w:vAlign w:val="center"/>
          </w:tcPr>
          <w:p>
            <w:pPr>
              <w:spacing w:line="360" w:lineRule="exact"/>
              <w:jc w:val="center"/>
              <w:rPr>
                <w:rFonts w:ascii="宋体" w:cs="宋体"/>
                <w:color w:val="auto"/>
                <w:kern w:val="0"/>
                <w:sz w:val="24"/>
                <w:szCs w:val="24"/>
                <w:highlight w:val="none"/>
              </w:rPr>
            </w:pPr>
            <w:r>
              <w:rPr>
                <w:rFonts w:hint="eastAsia" w:ascii="宋体" w:cs="宋体"/>
                <w:color w:val="auto"/>
                <w:kern w:val="0"/>
                <w:sz w:val="24"/>
                <w:szCs w:val="24"/>
                <w:highlight w:val="none"/>
              </w:rPr>
              <w:t>主要材料单价的评审</w:t>
            </w:r>
          </w:p>
          <w:p>
            <w:pPr>
              <w:spacing w:line="360" w:lineRule="exact"/>
              <w:jc w:val="center"/>
              <w:rPr>
                <w:rFonts w:ascii="宋体" w:cs="宋体"/>
                <w:color w:val="auto"/>
                <w:kern w:val="0"/>
                <w:sz w:val="24"/>
                <w:szCs w:val="24"/>
                <w:highlight w:val="none"/>
              </w:rPr>
            </w:pPr>
            <w:r>
              <w:rPr>
                <w:rFonts w:hint="eastAsia" w:ascii="宋体" w:cs="宋体"/>
                <w:color w:val="auto"/>
                <w:kern w:val="0"/>
                <w:sz w:val="24"/>
                <w:szCs w:val="24"/>
                <w:highlight w:val="none"/>
              </w:rPr>
              <w:t>（5分）</w:t>
            </w:r>
          </w:p>
        </w:tc>
        <w:tc>
          <w:tcPr>
            <w:tcW w:w="5681" w:type="dxa"/>
            <w:gridSpan w:val="2"/>
            <w:tcBorders>
              <w:tl2br w:val="nil"/>
              <w:tr2bl w:val="nil"/>
            </w:tcBorders>
            <w:vAlign w:val="center"/>
          </w:tcPr>
          <w:p>
            <w:pPr>
              <w:adjustRightInd w:val="0"/>
              <w:ind w:firstLine="480" w:firstLineChars="200"/>
              <w:jc w:val="left"/>
              <w:textAlignment w:val="baseline"/>
              <w:rPr>
                <w:rFonts w:ascii="宋体" w:cs="宋体"/>
                <w:color w:val="auto"/>
                <w:sz w:val="24"/>
                <w:szCs w:val="24"/>
                <w:highlight w:val="none"/>
              </w:rPr>
            </w:pPr>
            <w:r>
              <w:rPr>
                <w:rFonts w:hint="eastAsia" w:ascii="宋体" w:cs="宋体"/>
                <w:color w:val="auto"/>
                <w:sz w:val="24"/>
                <w:szCs w:val="24"/>
                <w:highlight w:val="none"/>
              </w:rPr>
              <w:t>从最高投标限价中材料总价权重最大的前10-20项材料中抽取6项，在剩余材料中抽取4项。</w:t>
            </w:r>
          </w:p>
          <w:p>
            <w:pPr>
              <w:adjustRightInd w:val="0"/>
              <w:ind w:firstLine="480" w:firstLineChars="200"/>
              <w:jc w:val="left"/>
              <w:textAlignment w:val="baseline"/>
              <w:rPr>
                <w:rFonts w:ascii="宋体" w:cs="宋体"/>
                <w:color w:val="auto"/>
                <w:sz w:val="24"/>
                <w:szCs w:val="24"/>
                <w:highlight w:val="none"/>
              </w:rPr>
            </w:pPr>
            <w:r>
              <w:rPr>
                <w:rFonts w:hint="eastAsia" w:ascii="宋体" w:cs="宋体"/>
                <w:color w:val="auto"/>
                <w:sz w:val="24"/>
                <w:szCs w:val="24"/>
                <w:highlight w:val="none"/>
              </w:rPr>
              <w:t>主要材料单价基准值是以各有效投标报价中（当有效投标人5名及以上时，去掉1个最高、1个最低值）对应抽取材料单价的算术平均值。</w:t>
            </w:r>
          </w:p>
          <w:p>
            <w:pPr>
              <w:adjustRightInd w:val="0"/>
              <w:ind w:firstLine="480" w:firstLineChars="200"/>
              <w:jc w:val="left"/>
              <w:textAlignment w:val="baseline"/>
              <w:rPr>
                <w:rFonts w:ascii="宋体" w:cs="宋体"/>
                <w:color w:val="auto"/>
                <w:sz w:val="24"/>
                <w:szCs w:val="24"/>
                <w:highlight w:val="none"/>
              </w:rPr>
            </w:pPr>
            <w:r>
              <w:rPr>
                <w:rFonts w:hint="eastAsia" w:ascii="宋体" w:cs="宋体"/>
                <w:color w:val="auto"/>
                <w:sz w:val="24"/>
                <w:szCs w:val="24"/>
                <w:highlight w:val="none"/>
              </w:rPr>
              <w:t>当投标人报价在材料单价基准值95%–103%范围内（不含95%和103%）每项得0.5分，在材料单价基准值90%–95%范围内（含90%和95%）每项得0.25分。超出该范围的不得分。材料单价与综合单价组成中价格不一致时该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868" w:type="dxa"/>
            <w:gridSpan w:val="2"/>
            <w:vMerge w:val="continue"/>
            <w:tcBorders>
              <w:tl2br w:val="nil"/>
              <w:tr2bl w:val="nil"/>
            </w:tcBorders>
            <w:vAlign w:val="center"/>
          </w:tcPr>
          <w:p>
            <w:pPr>
              <w:rPr>
                <w:color w:val="auto"/>
                <w:sz w:val="24"/>
                <w:szCs w:val="32"/>
                <w:highlight w:val="none"/>
              </w:rPr>
            </w:pPr>
          </w:p>
        </w:tc>
        <w:tc>
          <w:tcPr>
            <w:tcW w:w="1116" w:type="dxa"/>
            <w:gridSpan w:val="2"/>
            <w:vMerge w:val="continue"/>
            <w:tcBorders>
              <w:tl2br w:val="nil"/>
              <w:tr2bl w:val="nil"/>
            </w:tcBorders>
            <w:vAlign w:val="center"/>
          </w:tcPr>
          <w:p>
            <w:pPr>
              <w:rPr>
                <w:color w:val="auto"/>
                <w:sz w:val="24"/>
                <w:szCs w:val="32"/>
                <w:highlight w:val="none"/>
              </w:rPr>
            </w:pPr>
          </w:p>
        </w:tc>
        <w:tc>
          <w:tcPr>
            <w:tcW w:w="2216" w:type="dxa"/>
            <w:tcBorders>
              <w:tl2br w:val="nil"/>
              <w:tr2bl w:val="nil"/>
            </w:tcBorders>
            <w:vAlign w:val="center"/>
          </w:tcPr>
          <w:p>
            <w:pPr>
              <w:spacing w:line="360" w:lineRule="exact"/>
              <w:jc w:val="center"/>
              <w:rPr>
                <w:rFonts w:ascii="宋体" w:cs="宋体"/>
                <w:color w:val="auto"/>
                <w:spacing w:val="-2"/>
                <w:kern w:val="0"/>
                <w:sz w:val="24"/>
                <w:szCs w:val="24"/>
                <w:highlight w:val="none"/>
              </w:rPr>
            </w:pPr>
            <w:r>
              <w:rPr>
                <w:rFonts w:hint="eastAsia" w:ascii="宋体" w:cs="宋体"/>
                <w:color w:val="auto"/>
                <w:spacing w:val="-2"/>
                <w:kern w:val="0"/>
                <w:sz w:val="24"/>
                <w:szCs w:val="24"/>
                <w:highlight w:val="none"/>
              </w:rPr>
              <w:t>措施项目费的评审（不含安全文明措施费）</w:t>
            </w:r>
          </w:p>
          <w:p>
            <w:pPr>
              <w:spacing w:line="360" w:lineRule="exact"/>
              <w:jc w:val="center"/>
              <w:rPr>
                <w:rFonts w:ascii="宋体" w:cs="宋体"/>
                <w:color w:val="auto"/>
                <w:spacing w:val="-2"/>
                <w:kern w:val="0"/>
                <w:sz w:val="24"/>
                <w:szCs w:val="24"/>
                <w:highlight w:val="none"/>
              </w:rPr>
            </w:pPr>
            <w:r>
              <w:rPr>
                <w:rFonts w:hint="eastAsia" w:ascii="宋体" w:cs="宋体"/>
                <w:color w:val="auto"/>
                <w:spacing w:val="-2"/>
                <w:kern w:val="0"/>
                <w:sz w:val="24"/>
                <w:szCs w:val="24"/>
                <w:highlight w:val="none"/>
              </w:rPr>
              <w:t>（5分）</w:t>
            </w:r>
          </w:p>
        </w:tc>
        <w:tc>
          <w:tcPr>
            <w:tcW w:w="5681" w:type="dxa"/>
            <w:gridSpan w:val="2"/>
            <w:tcBorders>
              <w:tl2br w:val="nil"/>
              <w:tr2bl w:val="nil"/>
            </w:tcBorders>
            <w:vAlign w:val="center"/>
          </w:tcPr>
          <w:p>
            <w:pPr>
              <w:adjustRightInd w:val="0"/>
              <w:spacing w:line="300" w:lineRule="exact"/>
              <w:ind w:firstLine="480" w:firstLineChars="200"/>
              <w:jc w:val="left"/>
              <w:textAlignment w:val="baseline"/>
              <w:rPr>
                <w:rFonts w:ascii="宋体" w:cs="宋体"/>
                <w:color w:val="auto"/>
                <w:sz w:val="24"/>
                <w:szCs w:val="24"/>
                <w:highlight w:val="none"/>
              </w:rPr>
            </w:pPr>
            <w:r>
              <w:rPr>
                <w:rFonts w:hint="eastAsia" w:ascii="宋体" w:cs="宋体"/>
                <w:color w:val="auto"/>
                <w:sz w:val="24"/>
                <w:szCs w:val="24"/>
                <w:highlight w:val="none"/>
              </w:rPr>
              <w:t>措施项目费基准值是在最高投标限价中措施项目费用80%-110%范围之间的（超出该范围的不得分）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868" w:type="dxa"/>
            <w:gridSpan w:val="2"/>
            <w:vMerge w:val="continue"/>
            <w:tcBorders>
              <w:tl2br w:val="nil"/>
              <w:tr2bl w:val="nil"/>
            </w:tcBorders>
            <w:vAlign w:val="center"/>
          </w:tcPr>
          <w:p>
            <w:pPr>
              <w:rPr>
                <w:color w:val="auto"/>
                <w:sz w:val="24"/>
                <w:szCs w:val="32"/>
                <w:highlight w:val="none"/>
              </w:rPr>
            </w:pPr>
          </w:p>
        </w:tc>
        <w:tc>
          <w:tcPr>
            <w:tcW w:w="1116" w:type="dxa"/>
            <w:gridSpan w:val="2"/>
            <w:vMerge w:val="continue"/>
            <w:tcBorders>
              <w:tl2br w:val="nil"/>
              <w:tr2bl w:val="nil"/>
            </w:tcBorders>
            <w:vAlign w:val="center"/>
          </w:tcPr>
          <w:p>
            <w:pPr>
              <w:rPr>
                <w:color w:val="auto"/>
                <w:sz w:val="24"/>
                <w:szCs w:val="32"/>
                <w:highlight w:val="none"/>
              </w:rPr>
            </w:pPr>
          </w:p>
        </w:tc>
        <w:tc>
          <w:tcPr>
            <w:tcW w:w="7897" w:type="dxa"/>
            <w:gridSpan w:val="3"/>
            <w:tcBorders>
              <w:tl2br w:val="nil"/>
              <w:tr2bl w:val="nil"/>
            </w:tcBorders>
            <w:vAlign w:val="center"/>
          </w:tcPr>
          <w:p>
            <w:pPr>
              <w:adjustRightInd w:val="0"/>
              <w:spacing w:line="300" w:lineRule="exact"/>
              <w:jc w:val="left"/>
              <w:textAlignment w:val="baseline"/>
              <w:rPr>
                <w:rFonts w:ascii="宋体" w:cs="宋体"/>
                <w:color w:val="auto"/>
                <w:sz w:val="24"/>
                <w:szCs w:val="24"/>
                <w:highlight w:val="none"/>
              </w:rPr>
            </w:pPr>
            <w:r>
              <w:rPr>
                <w:rFonts w:hint="eastAsia" w:ascii="宋体" w:cs="宋体"/>
                <w:color w:val="auto"/>
                <w:sz w:val="24"/>
                <w:szCs w:val="24"/>
                <w:highlight w:val="none"/>
              </w:rPr>
              <w:t xml:space="preserve">   针对上述分部分项工程项目、主要材料项目中部分分部分项工程项目数量较少、施工工艺简单、主材种类较少而不能满足最低抽项要求的，应将所有分部分项工程项目或主要材料项目纳入评审范围。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868" w:type="dxa"/>
            <w:gridSpan w:val="2"/>
            <w:vMerge w:val="restart"/>
            <w:tcBorders>
              <w:tl2br w:val="nil"/>
              <w:tr2bl w:val="nil"/>
            </w:tcBorders>
            <w:vAlign w:val="center"/>
          </w:tcPr>
          <w:p>
            <w:pPr>
              <w:adjustRightInd w:val="0"/>
              <w:spacing w:line="360" w:lineRule="auto"/>
              <w:ind w:firstLine="120" w:firstLineChars="50"/>
              <w:textAlignment w:val="baseline"/>
              <w:rPr>
                <w:rFonts w:ascii="宋体" w:cs="宋体"/>
                <w:color w:val="auto"/>
                <w:sz w:val="24"/>
                <w:szCs w:val="24"/>
                <w:highlight w:val="none"/>
              </w:rPr>
            </w:pPr>
            <w:r>
              <w:rPr>
                <w:rFonts w:hint="eastAsia" w:ascii="宋体" w:cs="宋体"/>
                <w:color w:val="auto"/>
                <w:sz w:val="24"/>
                <w:szCs w:val="24"/>
                <w:highlight w:val="none"/>
              </w:rPr>
              <w:t>2.2.4</w:t>
            </w:r>
          </w:p>
          <w:p>
            <w:pPr>
              <w:adjustRightInd w:val="0"/>
              <w:spacing w:line="360" w:lineRule="auto"/>
              <w:jc w:val="center"/>
              <w:textAlignment w:val="baseline"/>
              <w:rPr>
                <w:rFonts w:ascii="宋体" w:cs="宋体"/>
                <w:color w:val="auto"/>
                <w:sz w:val="24"/>
                <w:szCs w:val="24"/>
                <w:highlight w:val="none"/>
              </w:rPr>
            </w:pPr>
            <w:r>
              <w:rPr>
                <w:rFonts w:hint="eastAsia" w:ascii="宋体" w:cs="宋体"/>
                <w:color w:val="auto"/>
                <w:sz w:val="24"/>
                <w:szCs w:val="24"/>
                <w:highlight w:val="none"/>
              </w:rPr>
              <w:t>(3)</w:t>
            </w:r>
          </w:p>
        </w:tc>
        <w:tc>
          <w:tcPr>
            <w:tcW w:w="1116" w:type="dxa"/>
            <w:gridSpan w:val="2"/>
            <w:vMerge w:val="restart"/>
            <w:tcBorders>
              <w:tl2br w:val="nil"/>
              <w:tr2bl w:val="nil"/>
            </w:tcBorders>
            <w:vAlign w:val="center"/>
          </w:tcPr>
          <w:p>
            <w:pPr>
              <w:adjustRightInd w:val="0"/>
              <w:snapToGrid w:val="0"/>
              <w:jc w:val="center"/>
              <w:textAlignment w:val="baseline"/>
              <w:rPr>
                <w:rFonts w:ascii="宋体" w:cs="宋体"/>
                <w:color w:val="auto"/>
                <w:sz w:val="24"/>
                <w:szCs w:val="32"/>
                <w:highlight w:val="none"/>
              </w:rPr>
            </w:pPr>
          </w:p>
          <w:p>
            <w:pPr>
              <w:adjustRightInd w:val="0"/>
              <w:snapToGrid w:val="0"/>
              <w:jc w:val="center"/>
              <w:textAlignment w:val="baseline"/>
              <w:rPr>
                <w:rFonts w:ascii="宋体" w:cs="宋体"/>
                <w:color w:val="auto"/>
                <w:sz w:val="24"/>
                <w:szCs w:val="24"/>
                <w:highlight w:val="none"/>
              </w:rPr>
            </w:pPr>
            <w:r>
              <w:rPr>
                <w:rFonts w:hint="eastAsia" w:ascii="宋体" w:cs="宋体"/>
                <w:color w:val="auto"/>
                <w:sz w:val="24"/>
                <w:szCs w:val="32"/>
                <w:highlight w:val="none"/>
              </w:rPr>
              <w:t>综合</w:t>
            </w:r>
            <w:r>
              <w:rPr>
                <w:rFonts w:hint="eastAsia" w:ascii="宋体" w:cs="宋体"/>
                <w:color w:val="auto"/>
                <w:sz w:val="24"/>
                <w:szCs w:val="32"/>
                <w:highlight w:val="none"/>
                <w:lang w:eastAsia="zh-CN"/>
              </w:rPr>
              <w:t>（</w:t>
            </w:r>
            <w:r>
              <w:rPr>
                <w:rFonts w:hint="eastAsia" w:ascii="宋体" w:cs="宋体"/>
                <w:color w:val="auto"/>
                <w:sz w:val="24"/>
                <w:szCs w:val="32"/>
                <w:highlight w:val="none"/>
                <w:lang w:val="en-US" w:eastAsia="zh-CN"/>
              </w:rPr>
              <w:t>20</w:t>
            </w:r>
            <w:r>
              <w:rPr>
                <w:rFonts w:ascii="宋体" w:cs="宋体"/>
                <w:color w:val="auto"/>
                <w:sz w:val="24"/>
                <w:szCs w:val="32"/>
                <w:highlight w:val="none"/>
              </w:rPr>
              <w:t>分</w:t>
            </w:r>
            <w:r>
              <w:rPr>
                <w:rFonts w:hint="eastAsia" w:ascii="宋体" w:cs="宋体"/>
                <w:color w:val="auto"/>
                <w:sz w:val="24"/>
                <w:szCs w:val="32"/>
                <w:highlight w:val="none"/>
                <w:lang w:eastAsia="zh-CN"/>
              </w:rPr>
              <w:t>）</w:t>
            </w:r>
          </w:p>
        </w:tc>
        <w:tc>
          <w:tcPr>
            <w:tcW w:w="2216" w:type="dxa"/>
            <w:tcBorders>
              <w:tl2br w:val="nil"/>
              <w:tr2bl w:val="nil"/>
            </w:tcBorders>
            <w:vAlign w:val="center"/>
          </w:tcPr>
          <w:p>
            <w:pPr>
              <w:adjustRightInd w:val="0"/>
              <w:snapToGrid w:val="0"/>
              <w:jc w:val="center"/>
              <w:textAlignment w:val="baseline"/>
              <w:rPr>
                <w:rFonts w:ascii="宋体" w:cs="宋体"/>
                <w:color w:val="auto"/>
                <w:sz w:val="24"/>
                <w:szCs w:val="32"/>
                <w:highlight w:val="none"/>
              </w:rPr>
            </w:pPr>
            <w:r>
              <w:rPr>
                <w:rFonts w:hint="eastAsia" w:ascii="宋体" w:cs="宋体"/>
                <w:color w:val="auto"/>
                <w:sz w:val="24"/>
                <w:szCs w:val="32"/>
                <w:highlight w:val="none"/>
              </w:rPr>
              <w:t>企业业绩</w:t>
            </w:r>
          </w:p>
          <w:p>
            <w:pPr>
              <w:pStyle w:val="5"/>
              <w:snapToGrid w:val="0"/>
              <w:ind w:left="0" w:leftChars="0" w:firstLine="720" w:firstLineChars="300"/>
              <w:rPr>
                <w:rFonts w:ascii="宋体" w:eastAsia="宋体" w:cs="宋体"/>
                <w:color w:val="auto"/>
                <w:sz w:val="24"/>
                <w:szCs w:val="24"/>
                <w:highlight w:val="none"/>
              </w:rPr>
            </w:pPr>
            <w:r>
              <w:rPr>
                <w:rFonts w:hint="eastAsia" w:ascii="宋体" w:eastAsia="宋体" w:cs="宋体"/>
                <w:color w:val="auto"/>
                <w:kern w:val="2"/>
                <w:sz w:val="24"/>
                <w:szCs w:val="32"/>
                <w:highlight w:val="none"/>
              </w:rPr>
              <w:t>（</w:t>
            </w:r>
            <w:r>
              <w:rPr>
                <w:rFonts w:hint="eastAsia" w:ascii="宋体" w:eastAsia="宋体" w:cs="宋体"/>
                <w:color w:val="auto"/>
                <w:kern w:val="2"/>
                <w:sz w:val="24"/>
                <w:szCs w:val="32"/>
                <w:highlight w:val="none"/>
                <w:lang w:val="en-US" w:eastAsia="zh-CN"/>
              </w:rPr>
              <w:t>0-5</w:t>
            </w:r>
            <w:r>
              <w:rPr>
                <w:rFonts w:ascii="宋体" w:eastAsia="宋体" w:cs="宋体"/>
                <w:color w:val="auto"/>
                <w:kern w:val="2"/>
                <w:sz w:val="24"/>
                <w:szCs w:val="32"/>
                <w:highlight w:val="none"/>
              </w:rPr>
              <w:t>分</w:t>
            </w:r>
            <w:r>
              <w:rPr>
                <w:rFonts w:hint="eastAsia" w:ascii="宋体" w:eastAsia="宋体" w:cs="宋体"/>
                <w:color w:val="auto"/>
                <w:kern w:val="2"/>
                <w:sz w:val="24"/>
                <w:szCs w:val="32"/>
                <w:highlight w:val="none"/>
              </w:rPr>
              <w:t>）</w:t>
            </w:r>
          </w:p>
        </w:tc>
        <w:tc>
          <w:tcPr>
            <w:tcW w:w="5681" w:type="dxa"/>
            <w:gridSpan w:val="2"/>
            <w:tcBorders>
              <w:tl2br w:val="nil"/>
              <w:tr2bl w:val="nil"/>
            </w:tcBorders>
          </w:tcPr>
          <w:p>
            <w:pPr>
              <w:tabs>
                <w:tab w:val="left" w:pos="0"/>
              </w:tabs>
              <w:snapToGrid w:val="0"/>
              <w:spacing w:line="300" w:lineRule="exact"/>
              <w:ind w:firstLine="480" w:firstLineChars="200"/>
              <w:rPr>
                <w:rFonts w:ascii="宋体" w:cs="宋体"/>
                <w:b/>
                <w:color w:val="70AD47" w:themeColor="accent6"/>
                <w:sz w:val="24"/>
                <w:szCs w:val="24"/>
                <w:highlight w:val="none"/>
                <w14:textFill>
                  <w14:solidFill>
                    <w14:schemeClr w14:val="accent6"/>
                  </w14:solidFill>
                </w14:textFill>
              </w:rPr>
            </w:pPr>
            <w:r>
              <w:rPr>
                <w:rFonts w:hint="eastAsia" w:ascii="宋体" w:cs="宋体"/>
                <w:color w:val="auto"/>
                <w:sz w:val="24"/>
                <w:szCs w:val="32"/>
                <w:highlight w:val="none"/>
              </w:rPr>
              <w:t>201</w:t>
            </w:r>
            <w:r>
              <w:rPr>
                <w:rFonts w:hint="eastAsia" w:ascii="宋体" w:cs="宋体"/>
                <w:color w:val="auto"/>
                <w:sz w:val="24"/>
                <w:szCs w:val="32"/>
                <w:highlight w:val="none"/>
                <w:lang w:val="en-US" w:eastAsia="zh-CN"/>
              </w:rPr>
              <w:t>9</w:t>
            </w:r>
            <w:r>
              <w:rPr>
                <w:rFonts w:hint="eastAsia" w:ascii="宋体" w:cs="宋体"/>
                <w:color w:val="auto"/>
                <w:sz w:val="24"/>
                <w:szCs w:val="32"/>
                <w:highlight w:val="none"/>
              </w:rPr>
              <w:t>年1月1日以来（以合同签订时间为准）承担过类似项目类似项目是指投资额不低于</w:t>
            </w:r>
            <w:r>
              <w:rPr>
                <w:rFonts w:hint="eastAsia" w:ascii="宋体" w:cs="宋体"/>
                <w:color w:val="auto"/>
                <w:sz w:val="24"/>
                <w:szCs w:val="32"/>
                <w:highlight w:val="none"/>
                <w:lang w:val="en-US" w:eastAsia="zh-CN"/>
              </w:rPr>
              <w:t>6</w:t>
            </w:r>
            <w:r>
              <w:rPr>
                <w:rFonts w:hint="eastAsia" w:ascii="宋体" w:cs="宋体"/>
                <w:color w:val="auto"/>
                <w:sz w:val="24"/>
                <w:szCs w:val="32"/>
                <w:highlight w:val="none"/>
              </w:rPr>
              <w:t>000万元或</w:t>
            </w:r>
            <w:r>
              <w:rPr>
                <w:rFonts w:hint="eastAsia" w:ascii="宋体" w:cs="宋体"/>
                <w:color w:val="auto"/>
                <w:sz w:val="24"/>
                <w:szCs w:val="32"/>
                <w:highlight w:val="none"/>
                <w:lang w:eastAsia="zh-CN"/>
              </w:rPr>
              <w:t>总</w:t>
            </w:r>
            <w:r>
              <w:rPr>
                <w:rFonts w:hint="eastAsia" w:ascii="宋体" w:cs="宋体"/>
                <w:color w:val="auto"/>
                <w:sz w:val="24"/>
                <w:szCs w:val="32"/>
                <w:highlight w:val="none"/>
              </w:rPr>
              <w:t>建筑面积不低于10000平方米的</w:t>
            </w:r>
            <w:r>
              <w:rPr>
                <w:rFonts w:hint="eastAsia" w:ascii="宋体" w:cs="宋体"/>
                <w:color w:val="auto"/>
                <w:sz w:val="24"/>
                <w:szCs w:val="32"/>
                <w:highlight w:val="none"/>
                <w:lang w:eastAsia="zh-CN"/>
              </w:rPr>
              <w:t>公共</w:t>
            </w:r>
            <w:r>
              <w:rPr>
                <w:rFonts w:hint="eastAsia" w:ascii="宋体" w:cs="宋体"/>
                <w:color w:val="auto"/>
                <w:sz w:val="24"/>
                <w:szCs w:val="32"/>
                <w:highlight w:val="none"/>
              </w:rPr>
              <w:t>建筑工程。每提供一份业绩得</w:t>
            </w:r>
            <w:r>
              <w:rPr>
                <w:rFonts w:hint="eastAsia" w:ascii="宋体" w:cs="宋体"/>
                <w:color w:val="auto"/>
                <w:sz w:val="24"/>
                <w:szCs w:val="32"/>
                <w:highlight w:val="none"/>
                <w:lang w:val="en-US" w:eastAsia="zh-CN"/>
              </w:rPr>
              <w:t>2.5</w:t>
            </w:r>
            <w:r>
              <w:rPr>
                <w:rFonts w:hint="eastAsia" w:ascii="宋体" w:cs="宋体"/>
                <w:color w:val="auto"/>
                <w:sz w:val="24"/>
                <w:szCs w:val="32"/>
                <w:highlight w:val="none"/>
              </w:rPr>
              <w:t>分，最多得</w:t>
            </w:r>
            <w:r>
              <w:rPr>
                <w:rFonts w:hint="eastAsia" w:ascii="宋体" w:cs="宋体"/>
                <w:color w:val="auto"/>
                <w:sz w:val="24"/>
                <w:szCs w:val="32"/>
                <w:highlight w:val="none"/>
                <w:lang w:val="en-US" w:eastAsia="zh-CN"/>
              </w:rPr>
              <w:t>5</w:t>
            </w:r>
            <w:r>
              <w:rPr>
                <w:rFonts w:hint="eastAsia" w:ascii="宋体" w:cs="宋体"/>
                <w:color w:val="auto"/>
                <w:sz w:val="24"/>
                <w:szCs w:val="32"/>
                <w:highlight w:val="none"/>
              </w:rPr>
              <w:t>分</w:t>
            </w:r>
            <w:r>
              <w:rPr>
                <w:rFonts w:hint="eastAsia" w:ascii="宋体" w:cs="宋体"/>
                <w:bCs/>
                <w:color w:val="auto"/>
                <w:sz w:val="24"/>
                <w:szCs w:val="24"/>
                <w:highlight w:val="none"/>
              </w:rPr>
              <w:t>。</w:t>
            </w:r>
          </w:p>
          <w:p>
            <w:pPr>
              <w:pStyle w:val="14"/>
              <w:ind w:firstLine="482" w:firstLineChars="200"/>
              <w:rPr>
                <w:rFonts w:ascii="宋体" w:cs="宋体"/>
                <w:color w:val="auto"/>
                <w:sz w:val="24"/>
                <w:szCs w:val="24"/>
                <w:highlight w:val="none"/>
              </w:rPr>
            </w:pPr>
            <w:r>
              <w:rPr>
                <w:rFonts w:hint="eastAsia" w:cs="宋体"/>
                <w:b/>
                <w:color w:val="auto"/>
                <w:sz w:val="24"/>
                <w:szCs w:val="28"/>
                <w:highlight w:val="none"/>
              </w:rPr>
              <w:t>注：以上要求的业绩证明材料包括（</w:t>
            </w:r>
            <w:r>
              <w:rPr>
                <w:rFonts w:hint="eastAsia" w:cs="宋体"/>
                <w:b/>
                <w:color w:val="auto"/>
                <w:sz w:val="24"/>
                <w:szCs w:val="28"/>
                <w:highlight w:val="none"/>
                <w:lang w:eastAsia="zh-CN"/>
              </w:rPr>
              <w:t>中标公示网页截图、</w:t>
            </w:r>
            <w:r>
              <w:rPr>
                <w:rFonts w:hint="eastAsia" w:cs="宋体"/>
                <w:b/>
                <w:color w:val="auto"/>
                <w:sz w:val="24"/>
                <w:szCs w:val="28"/>
                <w:highlight w:val="none"/>
              </w:rPr>
              <w:t>中标通知书、合同缺项不得分）。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868" w:type="dxa"/>
            <w:gridSpan w:val="2"/>
            <w:vMerge w:val="continue"/>
            <w:tcBorders>
              <w:tl2br w:val="nil"/>
              <w:tr2bl w:val="nil"/>
            </w:tcBorders>
            <w:vAlign w:val="center"/>
          </w:tcPr>
          <w:p>
            <w:pPr>
              <w:rPr>
                <w:color w:val="auto"/>
                <w:sz w:val="24"/>
                <w:szCs w:val="32"/>
                <w:highlight w:val="none"/>
              </w:rPr>
            </w:pPr>
          </w:p>
        </w:tc>
        <w:tc>
          <w:tcPr>
            <w:tcW w:w="1116" w:type="dxa"/>
            <w:gridSpan w:val="2"/>
            <w:vMerge w:val="continue"/>
            <w:tcBorders>
              <w:tl2br w:val="nil"/>
              <w:tr2bl w:val="nil"/>
            </w:tcBorders>
            <w:vAlign w:val="center"/>
          </w:tcPr>
          <w:p>
            <w:pPr>
              <w:rPr>
                <w:color w:val="auto"/>
                <w:sz w:val="24"/>
                <w:szCs w:val="32"/>
                <w:highlight w:val="none"/>
              </w:rPr>
            </w:pPr>
          </w:p>
        </w:tc>
        <w:tc>
          <w:tcPr>
            <w:tcW w:w="2216" w:type="dxa"/>
            <w:vMerge w:val="restart"/>
            <w:tcBorders>
              <w:tl2br w:val="nil"/>
              <w:tr2bl w:val="nil"/>
            </w:tcBorders>
            <w:vAlign w:val="center"/>
          </w:tcPr>
          <w:p>
            <w:pPr>
              <w:adjustRightInd w:val="0"/>
              <w:jc w:val="center"/>
              <w:textAlignment w:val="baseline"/>
              <w:rPr>
                <w:rFonts w:ascii="宋体" w:cs="宋体"/>
                <w:color w:val="auto"/>
                <w:sz w:val="24"/>
                <w:szCs w:val="32"/>
                <w:highlight w:val="none"/>
              </w:rPr>
            </w:pPr>
            <w:r>
              <w:rPr>
                <w:rFonts w:hint="eastAsia" w:ascii="宋体" w:cs="宋体"/>
                <w:color w:val="auto"/>
                <w:sz w:val="24"/>
                <w:szCs w:val="32"/>
                <w:highlight w:val="none"/>
              </w:rPr>
              <w:t>履职尽责承诺</w:t>
            </w:r>
          </w:p>
          <w:p>
            <w:pPr>
              <w:pStyle w:val="5"/>
              <w:ind w:left="0" w:leftChars="0" w:firstLine="720" w:firstLineChars="300"/>
              <w:rPr>
                <w:rFonts w:ascii="宋体" w:eastAsia="宋体" w:cs="宋体"/>
                <w:color w:val="auto"/>
                <w:sz w:val="24"/>
                <w:szCs w:val="24"/>
                <w:highlight w:val="none"/>
              </w:rPr>
            </w:pPr>
            <w:r>
              <w:rPr>
                <w:rFonts w:hint="eastAsia" w:ascii="宋体" w:eastAsia="宋体" w:cs="宋体"/>
                <w:color w:val="auto"/>
                <w:kern w:val="2"/>
                <w:sz w:val="24"/>
                <w:szCs w:val="32"/>
                <w:highlight w:val="none"/>
              </w:rPr>
              <w:t>（</w:t>
            </w:r>
            <w:r>
              <w:rPr>
                <w:rFonts w:hint="eastAsia" w:ascii="宋体" w:eastAsia="宋体" w:cs="宋体"/>
                <w:color w:val="auto"/>
                <w:kern w:val="2"/>
                <w:sz w:val="24"/>
                <w:szCs w:val="32"/>
                <w:highlight w:val="none"/>
                <w:lang w:val="en-US" w:eastAsia="zh-CN"/>
              </w:rPr>
              <w:t>0-5</w:t>
            </w:r>
            <w:r>
              <w:rPr>
                <w:rFonts w:ascii="宋体" w:eastAsia="宋体" w:cs="宋体"/>
                <w:color w:val="auto"/>
                <w:kern w:val="2"/>
                <w:sz w:val="24"/>
                <w:szCs w:val="32"/>
                <w:highlight w:val="none"/>
              </w:rPr>
              <w:t>分</w:t>
            </w:r>
            <w:r>
              <w:rPr>
                <w:rFonts w:hint="eastAsia" w:ascii="宋体" w:eastAsia="宋体" w:cs="宋体"/>
                <w:color w:val="auto"/>
                <w:kern w:val="2"/>
                <w:sz w:val="24"/>
                <w:szCs w:val="32"/>
                <w:highlight w:val="none"/>
              </w:rPr>
              <w:t>）</w:t>
            </w:r>
          </w:p>
        </w:tc>
        <w:tc>
          <w:tcPr>
            <w:tcW w:w="5681" w:type="dxa"/>
            <w:gridSpan w:val="2"/>
            <w:tcBorders>
              <w:tl2br w:val="nil"/>
              <w:tr2bl w:val="nil"/>
            </w:tcBorders>
            <w:vAlign w:val="center"/>
          </w:tcPr>
          <w:p>
            <w:pPr>
              <w:adjustRightInd w:val="0"/>
              <w:ind w:firstLine="480" w:firstLineChars="200"/>
              <w:jc w:val="left"/>
              <w:textAlignment w:val="baseline"/>
              <w:rPr>
                <w:rFonts w:hint="eastAsia" w:ascii="宋体" w:eastAsia="宋体" w:cs="宋体"/>
                <w:b/>
                <w:bCs/>
                <w:color w:val="auto"/>
                <w:sz w:val="24"/>
                <w:szCs w:val="24"/>
                <w:highlight w:val="none"/>
                <w:lang w:eastAsia="zh-CN"/>
              </w:rPr>
            </w:pPr>
            <w:r>
              <w:rPr>
                <w:rFonts w:hint="eastAsia"/>
                <w:snapToGrid w:val="0"/>
                <w:sz w:val="24"/>
                <w:szCs w:val="24"/>
                <w:highlight w:val="none"/>
              </w:rPr>
              <w:t>针对招标项目的特点和要求</w:t>
            </w:r>
            <w:r>
              <w:rPr>
                <w:rFonts w:hint="eastAsia"/>
                <w:snapToGrid w:val="0"/>
                <w:sz w:val="24"/>
                <w:szCs w:val="24"/>
                <w:highlight w:val="none"/>
                <w:lang w:eastAsia="zh-CN"/>
              </w:rPr>
              <w:t>，</w:t>
            </w:r>
            <w:r>
              <w:rPr>
                <w:rFonts w:hint="eastAsia" w:ascii="宋体" w:cs="宋体"/>
                <w:color w:val="auto"/>
                <w:sz w:val="24"/>
                <w:szCs w:val="24"/>
                <w:highlight w:val="none"/>
              </w:rPr>
              <w:t>具有全面、详实、可行、合法有效的书面保证技术措施落实到位的承诺和落实不到位的处理承诺，其中包括各关键岗位人员（项目经理及</w:t>
            </w:r>
            <w:r>
              <w:rPr>
                <w:rFonts w:hint="eastAsia" w:ascii="宋体" w:cs="宋体"/>
                <w:bCs/>
                <w:color w:val="auto"/>
                <w:sz w:val="24"/>
                <w:szCs w:val="24"/>
                <w:highlight w:val="none"/>
              </w:rPr>
              <w:t>施工员、质检员、安全员、材料员、资料员</w:t>
            </w:r>
            <w:r>
              <w:rPr>
                <w:rFonts w:hint="eastAsia" w:ascii="宋体" w:cs="宋体"/>
                <w:color w:val="auto"/>
                <w:sz w:val="24"/>
                <w:szCs w:val="24"/>
                <w:highlight w:val="none"/>
              </w:rPr>
              <w:t>等相关技术人员）的在岗、更换等履职尽责承诺，不拖欠农民工工资的承诺；扬尘治理的承诺；提供承包商履约保证。</w:t>
            </w:r>
            <w:r>
              <w:rPr>
                <w:rFonts w:hint="eastAsia" w:ascii="宋体" w:cs="宋体"/>
                <w:color w:val="auto"/>
                <w:sz w:val="24"/>
                <w:szCs w:val="24"/>
                <w:highlight w:val="none"/>
                <w:lang w:val="en-US" w:eastAsia="zh-CN"/>
              </w:rPr>
              <w:t>3</w:t>
            </w:r>
            <w:r>
              <w:rPr>
                <w:rFonts w:hint="eastAsia" w:ascii="宋体" w:cs="宋体"/>
                <w:color w:val="auto"/>
                <w:sz w:val="24"/>
                <w:szCs w:val="24"/>
                <w:highlight w:val="none"/>
              </w:rPr>
              <w:t>＜得分≤</w:t>
            </w:r>
            <w:r>
              <w:rPr>
                <w:rFonts w:hint="eastAsia" w:asci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68" w:type="dxa"/>
            <w:gridSpan w:val="2"/>
            <w:vMerge w:val="continue"/>
            <w:tcBorders>
              <w:tl2br w:val="nil"/>
              <w:tr2bl w:val="nil"/>
            </w:tcBorders>
            <w:vAlign w:val="center"/>
          </w:tcPr>
          <w:p>
            <w:pPr>
              <w:rPr>
                <w:color w:val="auto"/>
                <w:sz w:val="24"/>
                <w:szCs w:val="32"/>
                <w:highlight w:val="none"/>
              </w:rPr>
            </w:pPr>
          </w:p>
        </w:tc>
        <w:tc>
          <w:tcPr>
            <w:tcW w:w="1116" w:type="dxa"/>
            <w:gridSpan w:val="2"/>
            <w:vMerge w:val="continue"/>
            <w:tcBorders>
              <w:tl2br w:val="nil"/>
              <w:tr2bl w:val="nil"/>
            </w:tcBorders>
            <w:vAlign w:val="center"/>
          </w:tcPr>
          <w:p>
            <w:pPr>
              <w:rPr>
                <w:color w:val="auto"/>
                <w:sz w:val="24"/>
                <w:szCs w:val="32"/>
                <w:highlight w:val="none"/>
              </w:rPr>
            </w:pPr>
          </w:p>
        </w:tc>
        <w:tc>
          <w:tcPr>
            <w:tcW w:w="2216" w:type="dxa"/>
            <w:vMerge w:val="continue"/>
            <w:tcBorders>
              <w:tl2br w:val="nil"/>
              <w:tr2bl w:val="nil"/>
            </w:tcBorders>
            <w:vAlign w:val="center"/>
          </w:tcPr>
          <w:p>
            <w:pPr>
              <w:rPr>
                <w:color w:val="auto"/>
                <w:sz w:val="24"/>
                <w:szCs w:val="32"/>
                <w:highlight w:val="none"/>
              </w:rPr>
            </w:pPr>
          </w:p>
        </w:tc>
        <w:tc>
          <w:tcPr>
            <w:tcW w:w="5681" w:type="dxa"/>
            <w:gridSpan w:val="2"/>
            <w:tcBorders>
              <w:tl2br w:val="nil"/>
              <w:tr2bl w:val="nil"/>
            </w:tcBorders>
            <w:vAlign w:val="center"/>
          </w:tcPr>
          <w:p>
            <w:pPr>
              <w:adjustRightInd w:val="0"/>
              <w:ind w:firstLine="480" w:firstLineChars="200"/>
              <w:jc w:val="left"/>
              <w:textAlignment w:val="baseline"/>
              <w:rPr>
                <w:rFonts w:hint="eastAsia" w:ascii="宋体" w:eastAsia="宋体" w:cs="宋体"/>
                <w:color w:val="auto"/>
                <w:sz w:val="24"/>
                <w:szCs w:val="24"/>
                <w:highlight w:val="none"/>
                <w:lang w:val="en-US" w:eastAsia="zh-CN"/>
              </w:rPr>
            </w:pPr>
            <w:r>
              <w:rPr>
                <w:rFonts w:hint="eastAsia" w:ascii="宋体" w:cs="宋体"/>
                <w:color w:val="auto"/>
                <w:sz w:val="24"/>
                <w:szCs w:val="24"/>
                <w:highlight w:val="none"/>
              </w:rPr>
              <w:t>具有可行、合法有效的书面保证技术措施落实到位的承诺和落实不到位的处理承诺，其中包括各关键岗位人员（项目经理及</w:t>
            </w:r>
            <w:r>
              <w:rPr>
                <w:rFonts w:hint="eastAsia" w:ascii="宋体" w:cs="宋体"/>
                <w:bCs/>
                <w:color w:val="auto"/>
                <w:sz w:val="24"/>
                <w:szCs w:val="24"/>
                <w:highlight w:val="none"/>
              </w:rPr>
              <w:t>施工员、质检员、安全员、材料员、资料员</w:t>
            </w:r>
            <w:r>
              <w:rPr>
                <w:rFonts w:hint="eastAsia" w:ascii="宋体" w:cs="宋体"/>
                <w:color w:val="auto"/>
                <w:sz w:val="24"/>
                <w:szCs w:val="24"/>
                <w:highlight w:val="none"/>
              </w:rPr>
              <w:t>等相关技术人员）的在岗、更换等履职尽责承诺，不拖欠农民工工资的承诺；扬尘治理的承诺</w:t>
            </w:r>
            <w:r>
              <w:rPr>
                <w:rFonts w:hint="eastAsia" w:ascii="宋体" w:cs="宋体"/>
                <w:color w:val="auto"/>
                <w:sz w:val="24"/>
                <w:szCs w:val="24"/>
                <w:highlight w:val="none"/>
                <w:lang w:eastAsia="zh-CN"/>
              </w:rPr>
              <w:t>；</w:t>
            </w:r>
            <w:r>
              <w:rPr>
                <w:rFonts w:hint="eastAsia" w:ascii="宋体" w:cs="宋体"/>
                <w:color w:val="auto"/>
                <w:sz w:val="24"/>
                <w:szCs w:val="24"/>
                <w:highlight w:val="none"/>
              </w:rPr>
              <w:t>提供承包商履约保证。</w:t>
            </w:r>
            <w:r>
              <w:rPr>
                <w:rFonts w:hint="eastAsia" w:ascii="宋体" w:cs="宋体"/>
                <w:color w:val="auto"/>
                <w:sz w:val="24"/>
                <w:szCs w:val="24"/>
                <w:highlight w:val="none"/>
                <w:lang w:val="en-US" w:eastAsia="zh-CN"/>
              </w:rPr>
              <w:t>0</w:t>
            </w:r>
            <w:r>
              <w:rPr>
                <w:rFonts w:hint="eastAsia" w:ascii="宋体" w:cs="宋体"/>
                <w:color w:val="auto"/>
                <w:sz w:val="24"/>
                <w:szCs w:val="24"/>
                <w:highlight w:val="none"/>
              </w:rPr>
              <w:t>≤得分≤</w:t>
            </w:r>
            <w:r>
              <w:rPr>
                <w:rFonts w:hint="eastAsia" w:ascii="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68" w:type="dxa"/>
            <w:gridSpan w:val="2"/>
            <w:vMerge w:val="continue"/>
            <w:tcBorders>
              <w:tl2br w:val="nil"/>
              <w:tr2bl w:val="nil"/>
            </w:tcBorders>
            <w:vAlign w:val="center"/>
          </w:tcPr>
          <w:p>
            <w:pPr>
              <w:rPr>
                <w:color w:val="auto"/>
                <w:sz w:val="24"/>
                <w:szCs w:val="32"/>
                <w:highlight w:val="none"/>
              </w:rPr>
            </w:pPr>
          </w:p>
        </w:tc>
        <w:tc>
          <w:tcPr>
            <w:tcW w:w="1116" w:type="dxa"/>
            <w:gridSpan w:val="2"/>
            <w:vMerge w:val="continue"/>
            <w:tcBorders>
              <w:tl2br w:val="nil"/>
              <w:tr2bl w:val="nil"/>
            </w:tcBorders>
            <w:vAlign w:val="center"/>
          </w:tcPr>
          <w:p>
            <w:pPr>
              <w:rPr>
                <w:color w:val="auto"/>
                <w:sz w:val="24"/>
                <w:szCs w:val="32"/>
                <w:highlight w:val="none"/>
              </w:rPr>
            </w:pPr>
          </w:p>
        </w:tc>
        <w:tc>
          <w:tcPr>
            <w:tcW w:w="2216" w:type="dxa"/>
            <w:tcBorders>
              <w:tl2br w:val="nil"/>
              <w:tr2bl w:val="nil"/>
            </w:tcBorders>
            <w:vAlign w:val="center"/>
          </w:tcPr>
          <w:p>
            <w:pPr>
              <w:spacing w:line="360" w:lineRule="exact"/>
              <w:jc w:val="center"/>
              <w:rPr>
                <w:rFonts w:hint="eastAsia" w:ascii="宋体" w:hAnsi="Times New Roman" w:eastAsia="宋体" w:cs="宋体"/>
                <w:color w:val="auto"/>
                <w:spacing w:val="-2"/>
                <w:kern w:val="0"/>
                <w:sz w:val="24"/>
                <w:szCs w:val="24"/>
                <w:highlight w:val="none"/>
                <w:lang w:val="en-US" w:eastAsia="zh-CN" w:bidi="ar-SA"/>
              </w:rPr>
            </w:pPr>
            <w:r>
              <w:rPr>
                <w:rFonts w:hint="eastAsia" w:ascii="宋体" w:hAnsi="宋体"/>
                <w:sz w:val="24"/>
                <w:szCs w:val="32"/>
                <w:highlight w:val="none"/>
                <w:lang w:eastAsia="zh-CN"/>
              </w:rPr>
              <w:t>安全施工承诺（</w:t>
            </w:r>
            <w:r>
              <w:rPr>
                <w:rFonts w:hint="eastAsia" w:ascii="宋体" w:hAnsi="宋体"/>
                <w:sz w:val="24"/>
                <w:szCs w:val="32"/>
                <w:highlight w:val="none"/>
                <w:lang w:val="en-US" w:eastAsia="zh-CN"/>
              </w:rPr>
              <w:t>0-5</w:t>
            </w:r>
            <w:r>
              <w:rPr>
                <w:rFonts w:hint="eastAsia" w:ascii="宋体" w:hAnsi="宋体"/>
                <w:sz w:val="24"/>
                <w:szCs w:val="32"/>
                <w:highlight w:val="none"/>
              </w:rPr>
              <w:t>分</w:t>
            </w:r>
            <w:r>
              <w:rPr>
                <w:rFonts w:hint="eastAsia" w:ascii="宋体" w:hAnsi="宋体"/>
                <w:sz w:val="24"/>
                <w:szCs w:val="32"/>
                <w:highlight w:val="none"/>
                <w:lang w:eastAsia="zh-CN"/>
              </w:rPr>
              <w:t>）</w:t>
            </w:r>
          </w:p>
        </w:tc>
        <w:tc>
          <w:tcPr>
            <w:tcW w:w="5681" w:type="dxa"/>
            <w:gridSpan w:val="2"/>
            <w:tcBorders>
              <w:tl2br w:val="nil"/>
              <w:tr2bl w:val="nil"/>
            </w:tcBorders>
            <w:vAlign w:val="center"/>
          </w:tcPr>
          <w:p>
            <w:pPr>
              <w:adjustRightInd w:val="0"/>
              <w:spacing w:line="300" w:lineRule="exact"/>
              <w:ind w:firstLine="480" w:firstLineChars="200"/>
              <w:jc w:val="left"/>
              <w:textAlignment w:val="baseline"/>
              <w:rPr>
                <w:rFonts w:hint="eastAsia" w:ascii="宋体" w:hAnsi="Times New Roman" w:eastAsia="宋体" w:cs="宋体"/>
                <w:color w:val="auto"/>
                <w:kern w:val="2"/>
                <w:sz w:val="24"/>
                <w:szCs w:val="24"/>
                <w:highlight w:val="none"/>
                <w:lang w:val="en-US" w:eastAsia="zh-CN" w:bidi="ar-SA"/>
              </w:rPr>
            </w:pPr>
            <w:r>
              <w:rPr>
                <w:rFonts w:hint="eastAsia" w:ascii="宋体" w:hAnsi="Times New Roman" w:eastAsia="宋体" w:cs="宋体"/>
                <w:color w:val="auto"/>
                <w:kern w:val="2"/>
                <w:sz w:val="24"/>
                <w:szCs w:val="24"/>
                <w:highlight w:val="none"/>
                <w:lang w:val="en-US" w:eastAsia="zh-CN" w:bidi="ar-SA"/>
              </w:rPr>
              <w:t>施工期间，加强安全防护措施，保证安全文明施工不发生各种安全事故，且保证措施合理可行，由评</w:t>
            </w:r>
          </w:p>
          <w:p>
            <w:pPr>
              <w:adjustRightInd w:val="0"/>
              <w:spacing w:line="300" w:lineRule="exact"/>
              <w:jc w:val="left"/>
              <w:textAlignment w:val="baseline"/>
              <w:rPr>
                <w:rFonts w:hint="eastAsia" w:ascii="宋体" w:hAnsi="Times New Roman" w:eastAsia="宋体" w:cs="宋体"/>
                <w:color w:val="auto"/>
                <w:kern w:val="2"/>
                <w:sz w:val="24"/>
                <w:szCs w:val="24"/>
                <w:highlight w:val="none"/>
                <w:lang w:val="en-US" w:eastAsia="zh-CN" w:bidi="ar-SA"/>
              </w:rPr>
            </w:pPr>
            <w:r>
              <w:rPr>
                <w:rFonts w:hint="eastAsia" w:ascii="宋体" w:hAnsi="Times New Roman" w:eastAsia="宋体" w:cs="宋体"/>
                <w:color w:val="auto"/>
                <w:kern w:val="2"/>
                <w:sz w:val="24"/>
                <w:szCs w:val="24"/>
                <w:highlight w:val="none"/>
                <w:lang w:val="en-US" w:eastAsia="zh-CN" w:bidi="ar-SA"/>
              </w:rPr>
              <w:t>标委员会在 0-</w:t>
            </w:r>
            <w:r>
              <w:rPr>
                <w:rFonts w:hint="eastAsia" w:ascii="宋体" w:cs="宋体"/>
                <w:color w:val="auto"/>
                <w:kern w:val="2"/>
                <w:sz w:val="24"/>
                <w:szCs w:val="24"/>
                <w:highlight w:val="none"/>
                <w:lang w:val="en-US" w:eastAsia="zh-CN" w:bidi="ar-SA"/>
              </w:rPr>
              <w:t>5</w:t>
            </w:r>
            <w:r>
              <w:rPr>
                <w:rFonts w:hint="eastAsia" w:ascii="宋体" w:hAnsi="Times New Roman" w:eastAsia="宋体" w:cs="宋体"/>
                <w:color w:val="auto"/>
                <w:kern w:val="2"/>
                <w:sz w:val="24"/>
                <w:szCs w:val="24"/>
                <w:highlight w:val="none"/>
                <w:lang w:val="en-US" w:eastAsia="zh-CN" w:bidi="ar-SA"/>
              </w:rPr>
              <w:t xml:space="preserve"> 分之间酌情打分。</w:t>
            </w:r>
          </w:p>
          <w:p>
            <w:pPr>
              <w:adjustRightInd w:val="0"/>
              <w:spacing w:line="300" w:lineRule="exact"/>
              <w:ind w:firstLine="480" w:firstLineChars="200"/>
              <w:jc w:val="left"/>
              <w:textAlignment w:val="baseline"/>
              <w:rPr>
                <w:rFonts w:hint="eastAsia" w:ascii="宋体" w:hAnsi="Times New Roman"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68" w:type="dxa"/>
            <w:gridSpan w:val="2"/>
            <w:tcBorders>
              <w:tl2br w:val="nil"/>
              <w:tr2bl w:val="nil"/>
            </w:tcBorders>
            <w:vAlign w:val="center"/>
          </w:tcPr>
          <w:p>
            <w:pPr>
              <w:rPr>
                <w:color w:val="auto"/>
                <w:sz w:val="24"/>
                <w:szCs w:val="32"/>
                <w:highlight w:val="none"/>
              </w:rPr>
            </w:pPr>
          </w:p>
        </w:tc>
        <w:tc>
          <w:tcPr>
            <w:tcW w:w="1116" w:type="dxa"/>
            <w:gridSpan w:val="2"/>
            <w:tcBorders>
              <w:tl2br w:val="nil"/>
              <w:tr2bl w:val="nil"/>
            </w:tcBorders>
            <w:vAlign w:val="center"/>
          </w:tcPr>
          <w:p>
            <w:pPr>
              <w:rPr>
                <w:color w:val="auto"/>
                <w:sz w:val="24"/>
                <w:szCs w:val="32"/>
                <w:highlight w:val="none"/>
              </w:rPr>
            </w:pPr>
          </w:p>
        </w:tc>
        <w:tc>
          <w:tcPr>
            <w:tcW w:w="2216" w:type="dxa"/>
            <w:tcBorders>
              <w:tl2br w:val="nil"/>
              <w:tr2bl w:val="nil"/>
            </w:tcBorders>
            <w:vAlign w:val="center"/>
          </w:tcPr>
          <w:p>
            <w:pPr>
              <w:spacing w:line="360" w:lineRule="exact"/>
              <w:jc w:val="center"/>
              <w:rPr>
                <w:rFonts w:hint="default" w:ascii="宋体" w:hAnsi="宋体" w:eastAsia="宋体"/>
                <w:sz w:val="24"/>
                <w:szCs w:val="32"/>
                <w:highlight w:val="none"/>
                <w:lang w:val="en-US" w:eastAsia="zh-CN"/>
              </w:rPr>
            </w:pPr>
            <w:r>
              <w:rPr>
                <w:rFonts w:hint="eastAsia" w:ascii="宋体" w:hAnsi="宋体"/>
                <w:sz w:val="24"/>
                <w:szCs w:val="32"/>
                <w:highlight w:val="none"/>
                <w:lang w:eastAsia="zh-CN"/>
              </w:rPr>
              <w:t>服务承诺（</w:t>
            </w:r>
            <w:r>
              <w:rPr>
                <w:rFonts w:hint="eastAsia" w:ascii="宋体" w:hAnsi="宋体"/>
                <w:sz w:val="24"/>
                <w:szCs w:val="32"/>
                <w:highlight w:val="none"/>
                <w:lang w:val="en-US" w:eastAsia="zh-CN"/>
              </w:rPr>
              <w:t>0-5分</w:t>
            </w:r>
            <w:r>
              <w:rPr>
                <w:rFonts w:hint="eastAsia" w:ascii="宋体" w:hAnsi="宋体"/>
                <w:sz w:val="24"/>
                <w:szCs w:val="32"/>
                <w:highlight w:val="none"/>
                <w:lang w:eastAsia="zh-CN"/>
              </w:rPr>
              <w:t>）</w:t>
            </w:r>
          </w:p>
        </w:tc>
        <w:tc>
          <w:tcPr>
            <w:tcW w:w="5681" w:type="dxa"/>
            <w:gridSpan w:val="2"/>
            <w:tcBorders>
              <w:tl2br w:val="nil"/>
              <w:tr2bl w:val="nil"/>
            </w:tcBorders>
            <w:vAlign w:val="center"/>
          </w:tcPr>
          <w:p>
            <w:pPr>
              <w:spacing w:line="360" w:lineRule="auto"/>
              <w:ind w:firstLine="480" w:firstLineChars="200"/>
              <w:rPr>
                <w:rFonts w:hint="eastAsia"/>
                <w:sz w:val="24"/>
                <w:szCs w:val="32"/>
                <w:highlight w:val="none"/>
              </w:rPr>
            </w:pPr>
            <w:r>
              <w:rPr>
                <w:rFonts w:hint="eastAsia"/>
                <w:sz w:val="24"/>
                <w:szCs w:val="32"/>
                <w:highlight w:val="none"/>
              </w:rPr>
              <w:t>根据投标人对工程质量保修期内、保修期外的服务承诺及技术措施进行打分，确保工程竣工验收后，</w:t>
            </w:r>
          </w:p>
          <w:p>
            <w:pPr>
              <w:spacing w:line="360" w:lineRule="auto"/>
              <w:rPr>
                <w:rFonts w:hint="eastAsia"/>
                <w:sz w:val="24"/>
                <w:szCs w:val="32"/>
                <w:highlight w:val="none"/>
              </w:rPr>
            </w:pPr>
            <w:r>
              <w:rPr>
                <w:rFonts w:hint="eastAsia"/>
                <w:sz w:val="24"/>
                <w:szCs w:val="32"/>
                <w:highlight w:val="none"/>
              </w:rPr>
              <w:t>施工维修在接到通知 12 小时内到达损坏现场及时</w:t>
            </w:r>
          </w:p>
          <w:p>
            <w:pPr>
              <w:spacing w:line="360" w:lineRule="auto"/>
              <w:rPr>
                <w:rFonts w:hint="eastAsia"/>
                <w:sz w:val="24"/>
                <w:szCs w:val="32"/>
                <w:highlight w:val="none"/>
              </w:rPr>
            </w:pPr>
            <w:r>
              <w:rPr>
                <w:rFonts w:hint="eastAsia"/>
                <w:sz w:val="24"/>
                <w:szCs w:val="32"/>
                <w:highlight w:val="none"/>
              </w:rPr>
              <w:t>维修，并具有切实可行的落实保障措施的，由评标</w:t>
            </w:r>
          </w:p>
          <w:p>
            <w:pPr>
              <w:spacing w:line="360" w:lineRule="auto"/>
              <w:rPr>
                <w:rFonts w:hint="eastAsia"/>
                <w:sz w:val="24"/>
                <w:szCs w:val="32"/>
                <w:highlight w:val="none"/>
              </w:rPr>
            </w:pPr>
            <w:r>
              <w:rPr>
                <w:rFonts w:hint="eastAsia"/>
                <w:sz w:val="24"/>
                <w:szCs w:val="32"/>
                <w:highlight w:val="none"/>
              </w:rPr>
              <w:t>委员会在 0-</w:t>
            </w:r>
            <w:r>
              <w:rPr>
                <w:rFonts w:hint="eastAsia"/>
                <w:sz w:val="24"/>
                <w:szCs w:val="32"/>
                <w:highlight w:val="none"/>
                <w:lang w:val="en-US" w:eastAsia="zh-CN"/>
              </w:rPr>
              <w:t>5</w:t>
            </w:r>
            <w:r>
              <w:rPr>
                <w:rFonts w:hint="eastAsia"/>
                <w:sz w:val="24"/>
                <w:szCs w:val="32"/>
                <w:highlight w:val="none"/>
              </w:rPr>
              <w:t xml:space="preserve"> 分之间酌情打分；</w:t>
            </w:r>
          </w:p>
          <w:p>
            <w:pPr>
              <w:adjustRightInd w:val="0"/>
              <w:spacing w:line="300" w:lineRule="exact"/>
              <w:ind w:firstLine="480" w:firstLineChars="200"/>
              <w:jc w:val="left"/>
              <w:textAlignment w:val="baseline"/>
              <w:rPr>
                <w:rFonts w:hint="eastAsia"/>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881" w:type="dxa"/>
            <w:gridSpan w:val="7"/>
            <w:tcBorders>
              <w:tl2br w:val="nil"/>
              <w:tr2bl w:val="nil"/>
            </w:tcBorders>
            <w:vAlign w:val="center"/>
          </w:tcPr>
          <w:p>
            <w:pPr>
              <w:adjustRightInd w:val="0"/>
              <w:textAlignment w:val="baseline"/>
              <w:rPr>
                <w:rFonts w:ascii="宋体" w:cs="宋体"/>
                <w:color w:val="auto"/>
                <w:sz w:val="24"/>
                <w:szCs w:val="24"/>
                <w:highlight w:val="none"/>
              </w:rPr>
            </w:pPr>
            <w:r>
              <w:rPr>
                <w:rFonts w:hint="eastAsia" w:ascii="宋体" w:cs="宋体"/>
                <w:color w:val="auto"/>
                <w:sz w:val="24"/>
                <w:szCs w:val="24"/>
                <w:highlight w:val="none"/>
              </w:rPr>
              <w:t>注：所有评委计分结果的算术平均值，作为该投标人的最终得分；本办法过程中评委计算的分值按四舍五入保留二位小数，投标人最终得分按四舍五入保留两位小数。</w:t>
            </w:r>
          </w:p>
        </w:tc>
      </w:tr>
    </w:tbl>
    <w:p>
      <w:pPr>
        <w:spacing w:line="400" w:lineRule="exact"/>
        <w:jc w:val="left"/>
        <w:rPr>
          <w:rFonts w:ascii="宋体"/>
          <w:b/>
          <w:bCs/>
          <w:color w:val="auto"/>
          <w:sz w:val="24"/>
          <w:szCs w:val="24"/>
          <w:highlight w:val="none"/>
        </w:rPr>
      </w:pPr>
      <w:r>
        <w:rPr>
          <w:rFonts w:hint="eastAsia" w:ascii="宋体"/>
          <w:b/>
          <w:bCs/>
          <w:color w:val="auto"/>
          <w:sz w:val="24"/>
          <w:szCs w:val="24"/>
          <w:highlight w:val="none"/>
        </w:rPr>
        <w:t>注：1、本办法中评审时核查投标文件中所附相关原件扫描件（或图片），所提供证明材料不全、有改动痕迹的不予计分。</w:t>
      </w:r>
    </w:p>
    <w:p>
      <w:pPr>
        <w:spacing w:line="400" w:lineRule="exact"/>
        <w:ind w:firstLine="482" w:firstLineChars="200"/>
        <w:jc w:val="left"/>
        <w:rPr>
          <w:rFonts w:ascii="宋体"/>
          <w:b/>
          <w:bCs/>
          <w:color w:val="auto"/>
          <w:sz w:val="24"/>
          <w:szCs w:val="24"/>
          <w:highlight w:val="none"/>
        </w:rPr>
      </w:pPr>
      <w:r>
        <w:rPr>
          <w:rFonts w:hint="eastAsia" w:ascii="宋体"/>
          <w:b/>
          <w:bCs/>
          <w:color w:val="auto"/>
          <w:sz w:val="24"/>
          <w:szCs w:val="24"/>
          <w:highlight w:val="none"/>
        </w:rPr>
        <w:t>2、本评标办法中与本招标文件中其他处内容不一致时，以本评标办法为准，若本评标办法前附表与评标办法正文、附件不一致时以前附表为准，本评标办法中总分值与分项分值不一致时，以分项分值为准（明显有误的除外）。</w:t>
      </w:r>
    </w:p>
    <w:p>
      <w:pPr>
        <w:pStyle w:val="27"/>
        <w:tabs>
          <w:tab w:val="left" w:pos="425"/>
        </w:tabs>
        <w:rPr>
          <w:color w:val="auto"/>
          <w:sz w:val="24"/>
          <w:szCs w:val="24"/>
          <w:highlight w:val="none"/>
        </w:rPr>
      </w:pPr>
      <w:r>
        <w:rPr>
          <w:rFonts w:hint="eastAsia"/>
          <w:color w:val="auto"/>
          <w:sz w:val="24"/>
          <w:szCs w:val="24"/>
          <w:highlight w:val="none"/>
        </w:rPr>
        <w:t>1. 评标方法</w:t>
      </w:r>
    </w:p>
    <w:p>
      <w:pPr>
        <w:spacing w:line="400" w:lineRule="exact"/>
        <w:ind w:firstLine="480" w:firstLineChars="200"/>
        <w:rPr>
          <w:color w:val="auto"/>
          <w:sz w:val="24"/>
          <w:szCs w:val="24"/>
          <w:highlight w:val="none"/>
        </w:rPr>
      </w:pPr>
      <w:r>
        <w:rPr>
          <w:rFonts w:hint="eastAsia"/>
          <w:color w:val="auto"/>
          <w:sz w:val="24"/>
          <w:szCs w:val="24"/>
          <w:highlight w:val="none"/>
        </w:rPr>
        <w:t>本次评标采用综合评估法。评标委员会对满足招标文件实质性要求的投标文件，按照本章第2.2款规定的评分标准进行打分，并按得分由高到低顺序推荐中标候选人，或根据招标人授权直接确定中标人，但投标总报价低于其成本的除外。综合评分相等时，以投标总报价低的优先；投标总报价也相等的，以施工组织设计优的优先。</w:t>
      </w:r>
    </w:p>
    <w:p>
      <w:pPr>
        <w:pStyle w:val="27"/>
        <w:tabs>
          <w:tab w:val="left" w:pos="425"/>
        </w:tabs>
        <w:rPr>
          <w:color w:val="auto"/>
          <w:sz w:val="24"/>
          <w:szCs w:val="24"/>
          <w:highlight w:val="none"/>
        </w:rPr>
      </w:pPr>
      <w:r>
        <w:rPr>
          <w:rFonts w:hint="eastAsia"/>
          <w:color w:val="auto"/>
          <w:sz w:val="24"/>
          <w:szCs w:val="24"/>
          <w:highlight w:val="none"/>
        </w:rPr>
        <w:t>2. 评审标准</w:t>
      </w:r>
    </w:p>
    <w:p>
      <w:pPr>
        <w:pStyle w:val="26"/>
        <w:rPr>
          <w:color w:val="auto"/>
          <w:sz w:val="24"/>
          <w:szCs w:val="24"/>
          <w:highlight w:val="none"/>
        </w:rPr>
      </w:pPr>
      <w:r>
        <w:rPr>
          <w:rFonts w:hint="eastAsia"/>
          <w:color w:val="auto"/>
          <w:sz w:val="24"/>
          <w:szCs w:val="24"/>
          <w:highlight w:val="none"/>
        </w:rPr>
        <w:t>2.1 初步评审标准</w:t>
      </w:r>
    </w:p>
    <w:p>
      <w:pPr>
        <w:spacing w:line="400" w:lineRule="exact"/>
        <w:ind w:firstLine="480" w:firstLineChars="200"/>
        <w:rPr>
          <w:color w:val="auto"/>
          <w:sz w:val="24"/>
          <w:szCs w:val="24"/>
          <w:highlight w:val="none"/>
        </w:rPr>
      </w:pPr>
      <w:r>
        <w:rPr>
          <w:rFonts w:hint="eastAsia"/>
          <w:color w:val="auto"/>
          <w:sz w:val="24"/>
          <w:szCs w:val="24"/>
          <w:highlight w:val="none"/>
        </w:rPr>
        <w:t>2.1.1 形式评审标准：见评标办法前附表。</w:t>
      </w:r>
    </w:p>
    <w:p>
      <w:pPr>
        <w:spacing w:line="400" w:lineRule="exact"/>
        <w:ind w:firstLine="480" w:firstLineChars="200"/>
        <w:rPr>
          <w:color w:val="auto"/>
          <w:sz w:val="24"/>
          <w:szCs w:val="24"/>
          <w:highlight w:val="none"/>
        </w:rPr>
      </w:pPr>
      <w:r>
        <w:rPr>
          <w:rFonts w:hint="eastAsia"/>
          <w:color w:val="auto"/>
          <w:sz w:val="24"/>
          <w:szCs w:val="24"/>
          <w:highlight w:val="none"/>
        </w:rPr>
        <w:t>2.1.2 资格评审标准：见评标办法前附表。</w:t>
      </w:r>
    </w:p>
    <w:p>
      <w:pPr>
        <w:spacing w:line="400" w:lineRule="exact"/>
        <w:ind w:firstLine="480" w:firstLineChars="200"/>
        <w:rPr>
          <w:color w:val="auto"/>
          <w:sz w:val="24"/>
          <w:szCs w:val="24"/>
          <w:highlight w:val="none"/>
        </w:rPr>
      </w:pPr>
      <w:r>
        <w:rPr>
          <w:rFonts w:hint="eastAsia"/>
          <w:color w:val="auto"/>
          <w:sz w:val="24"/>
          <w:szCs w:val="24"/>
          <w:highlight w:val="none"/>
        </w:rPr>
        <w:t>2.1.3 响应性评审标准：见评标办法前附表。</w:t>
      </w:r>
    </w:p>
    <w:p>
      <w:pPr>
        <w:pStyle w:val="26"/>
        <w:rPr>
          <w:color w:val="auto"/>
          <w:sz w:val="24"/>
          <w:szCs w:val="24"/>
          <w:highlight w:val="none"/>
        </w:rPr>
      </w:pPr>
      <w:r>
        <w:rPr>
          <w:rFonts w:hint="eastAsia"/>
          <w:color w:val="auto"/>
          <w:sz w:val="24"/>
          <w:szCs w:val="24"/>
          <w:highlight w:val="none"/>
        </w:rPr>
        <w:t>2.2 分值构成与评分标准</w:t>
      </w:r>
    </w:p>
    <w:p>
      <w:pPr>
        <w:spacing w:line="400" w:lineRule="exact"/>
        <w:ind w:firstLine="480" w:firstLineChars="200"/>
        <w:rPr>
          <w:color w:val="auto"/>
          <w:sz w:val="24"/>
          <w:szCs w:val="24"/>
          <w:highlight w:val="none"/>
        </w:rPr>
      </w:pPr>
      <w:r>
        <w:rPr>
          <w:rFonts w:hint="eastAsia"/>
          <w:color w:val="auto"/>
          <w:sz w:val="24"/>
          <w:szCs w:val="24"/>
          <w:highlight w:val="none"/>
        </w:rPr>
        <w:t xml:space="preserve">2.2.1 </w:t>
      </w:r>
      <w:r>
        <w:rPr>
          <w:rFonts w:hint="eastAsia" w:ascii="黑体" w:eastAsia="黑体"/>
          <w:color w:val="auto"/>
          <w:sz w:val="24"/>
          <w:szCs w:val="24"/>
          <w:highlight w:val="none"/>
        </w:rPr>
        <w:t>分值构成</w:t>
      </w:r>
    </w:p>
    <w:p>
      <w:pPr>
        <w:spacing w:line="400" w:lineRule="exact"/>
        <w:ind w:firstLine="820" w:firstLineChars="342"/>
        <w:rPr>
          <w:color w:val="auto"/>
          <w:sz w:val="24"/>
          <w:szCs w:val="24"/>
          <w:highlight w:val="none"/>
        </w:rPr>
      </w:pPr>
      <w:r>
        <w:rPr>
          <w:rFonts w:hint="eastAsia"/>
          <w:color w:val="auto"/>
          <w:sz w:val="24"/>
          <w:szCs w:val="24"/>
          <w:highlight w:val="none"/>
        </w:rPr>
        <w:t>（1）技术标：见评标办法前附表；</w:t>
      </w:r>
    </w:p>
    <w:p>
      <w:pPr>
        <w:spacing w:line="400" w:lineRule="exact"/>
        <w:ind w:firstLine="820" w:firstLineChars="342"/>
        <w:rPr>
          <w:color w:val="auto"/>
          <w:sz w:val="24"/>
          <w:szCs w:val="24"/>
          <w:highlight w:val="none"/>
        </w:rPr>
      </w:pPr>
      <w:r>
        <w:rPr>
          <w:rFonts w:hint="eastAsia"/>
          <w:color w:val="auto"/>
          <w:sz w:val="24"/>
          <w:szCs w:val="24"/>
          <w:highlight w:val="none"/>
        </w:rPr>
        <w:t>（2）商务标：见评标办法前附表；</w:t>
      </w:r>
    </w:p>
    <w:p>
      <w:pPr>
        <w:spacing w:line="400" w:lineRule="exact"/>
        <w:ind w:firstLine="820" w:firstLineChars="342"/>
        <w:rPr>
          <w:color w:val="auto"/>
          <w:sz w:val="24"/>
          <w:szCs w:val="24"/>
          <w:highlight w:val="none"/>
        </w:rPr>
      </w:pPr>
      <w:r>
        <w:rPr>
          <w:rFonts w:hint="eastAsia"/>
          <w:color w:val="auto"/>
          <w:sz w:val="24"/>
          <w:szCs w:val="24"/>
          <w:highlight w:val="none"/>
        </w:rPr>
        <w:t>（3）综合标：见评标办法前附表。</w:t>
      </w:r>
    </w:p>
    <w:p>
      <w:pPr>
        <w:spacing w:line="400" w:lineRule="exact"/>
        <w:ind w:firstLine="480" w:firstLineChars="200"/>
        <w:rPr>
          <w:color w:val="auto"/>
          <w:sz w:val="24"/>
          <w:szCs w:val="24"/>
          <w:highlight w:val="none"/>
        </w:rPr>
      </w:pPr>
      <w:r>
        <w:rPr>
          <w:rFonts w:hint="eastAsia"/>
          <w:color w:val="auto"/>
          <w:sz w:val="24"/>
          <w:szCs w:val="24"/>
          <w:highlight w:val="none"/>
        </w:rPr>
        <w:t xml:space="preserve">2.2.2 </w:t>
      </w:r>
      <w:r>
        <w:rPr>
          <w:rFonts w:hint="eastAsia" w:ascii="黑体" w:eastAsia="黑体"/>
          <w:color w:val="auto"/>
          <w:sz w:val="24"/>
          <w:szCs w:val="24"/>
          <w:highlight w:val="none"/>
        </w:rPr>
        <w:t>评标基准价计算</w:t>
      </w:r>
    </w:p>
    <w:p>
      <w:pPr>
        <w:spacing w:line="400" w:lineRule="exact"/>
        <w:ind w:firstLine="960" w:firstLineChars="400"/>
        <w:rPr>
          <w:color w:val="auto"/>
          <w:sz w:val="24"/>
          <w:szCs w:val="24"/>
          <w:highlight w:val="none"/>
        </w:rPr>
      </w:pPr>
      <w:r>
        <w:rPr>
          <w:rFonts w:hint="eastAsia"/>
          <w:color w:val="auto"/>
          <w:sz w:val="24"/>
          <w:szCs w:val="24"/>
          <w:highlight w:val="none"/>
        </w:rPr>
        <w:t>评标基准价计算方法：见评标办法前附表。</w:t>
      </w:r>
    </w:p>
    <w:p>
      <w:pPr>
        <w:spacing w:line="400" w:lineRule="exact"/>
        <w:ind w:firstLine="480" w:firstLineChars="200"/>
        <w:rPr>
          <w:color w:val="auto"/>
          <w:sz w:val="24"/>
          <w:szCs w:val="24"/>
          <w:highlight w:val="none"/>
        </w:rPr>
      </w:pPr>
      <w:r>
        <w:rPr>
          <w:rFonts w:hint="eastAsia"/>
          <w:color w:val="auto"/>
          <w:sz w:val="24"/>
          <w:szCs w:val="24"/>
          <w:highlight w:val="none"/>
        </w:rPr>
        <w:t xml:space="preserve">2.2.3 </w:t>
      </w:r>
      <w:r>
        <w:rPr>
          <w:rFonts w:hint="eastAsia" w:ascii="黑体" w:eastAsia="黑体"/>
          <w:color w:val="auto"/>
          <w:sz w:val="24"/>
          <w:szCs w:val="24"/>
          <w:highlight w:val="none"/>
        </w:rPr>
        <w:t>投标报价的偏差率计算</w:t>
      </w:r>
    </w:p>
    <w:p>
      <w:pPr>
        <w:spacing w:line="400" w:lineRule="exact"/>
        <w:ind w:firstLine="960" w:firstLineChars="400"/>
        <w:rPr>
          <w:color w:val="auto"/>
          <w:sz w:val="24"/>
          <w:szCs w:val="24"/>
          <w:highlight w:val="none"/>
        </w:rPr>
      </w:pPr>
      <w:r>
        <w:rPr>
          <w:rFonts w:hint="eastAsia"/>
          <w:color w:val="auto"/>
          <w:sz w:val="24"/>
          <w:szCs w:val="24"/>
          <w:highlight w:val="none"/>
        </w:rPr>
        <w:t>投标报价的偏差率计算公式：见评标办法前附表。</w:t>
      </w:r>
    </w:p>
    <w:p>
      <w:pPr>
        <w:spacing w:line="400" w:lineRule="exact"/>
        <w:ind w:firstLine="480" w:firstLineChars="200"/>
        <w:rPr>
          <w:color w:val="auto"/>
          <w:sz w:val="24"/>
          <w:szCs w:val="24"/>
          <w:highlight w:val="none"/>
        </w:rPr>
      </w:pPr>
      <w:r>
        <w:rPr>
          <w:rFonts w:hint="eastAsia"/>
          <w:color w:val="auto"/>
          <w:sz w:val="24"/>
          <w:szCs w:val="24"/>
          <w:highlight w:val="none"/>
        </w:rPr>
        <w:t xml:space="preserve">2.2.4 </w:t>
      </w:r>
      <w:r>
        <w:rPr>
          <w:rFonts w:hint="eastAsia" w:ascii="黑体" w:eastAsia="黑体"/>
          <w:color w:val="auto"/>
          <w:sz w:val="24"/>
          <w:szCs w:val="24"/>
          <w:highlight w:val="none"/>
        </w:rPr>
        <w:t>评分标准</w:t>
      </w:r>
    </w:p>
    <w:p>
      <w:pPr>
        <w:spacing w:line="400" w:lineRule="exact"/>
        <w:ind w:firstLine="820" w:firstLineChars="342"/>
        <w:rPr>
          <w:color w:val="auto"/>
          <w:sz w:val="24"/>
          <w:szCs w:val="24"/>
          <w:highlight w:val="none"/>
        </w:rPr>
      </w:pPr>
      <w:r>
        <w:rPr>
          <w:rFonts w:hint="eastAsia"/>
          <w:color w:val="auto"/>
          <w:sz w:val="24"/>
          <w:szCs w:val="24"/>
          <w:highlight w:val="none"/>
        </w:rPr>
        <w:t>（1）技术标：见评标办法前附表；</w:t>
      </w:r>
    </w:p>
    <w:p>
      <w:pPr>
        <w:spacing w:line="400" w:lineRule="exact"/>
        <w:ind w:firstLine="820" w:firstLineChars="342"/>
        <w:rPr>
          <w:color w:val="auto"/>
          <w:sz w:val="24"/>
          <w:szCs w:val="24"/>
          <w:highlight w:val="none"/>
        </w:rPr>
      </w:pPr>
      <w:r>
        <w:rPr>
          <w:rFonts w:hint="eastAsia"/>
          <w:color w:val="auto"/>
          <w:sz w:val="24"/>
          <w:szCs w:val="24"/>
          <w:highlight w:val="none"/>
        </w:rPr>
        <w:t>（2）商务标：见评标办法前附表；</w:t>
      </w:r>
    </w:p>
    <w:p>
      <w:pPr>
        <w:spacing w:line="400" w:lineRule="exact"/>
        <w:ind w:firstLine="820" w:firstLineChars="342"/>
        <w:rPr>
          <w:rFonts w:hint="eastAsia"/>
          <w:color w:val="auto"/>
          <w:sz w:val="24"/>
          <w:szCs w:val="24"/>
          <w:highlight w:val="none"/>
        </w:rPr>
      </w:pPr>
      <w:r>
        <w:rPr>
          <w:rFonts w:hint="eastAsia"/>
          <w:color w:val="auto"/>
          <w:sz w:val="24"/>
          <w:szCs w:val="24"/>
          <w:highlight w:val="none"/>
        </w:rPr>
        <w:t>（3）综合标：见评标办法前附表。</w:t>
      </w:r>
    </w:p>
    <w:p>
      <w:pPr>
        <w:pStyle w:val="27"/>
        <w:tabs>
          <w:tab w:val="left" w:pos="425"/>
        </w:tabs>
        <w:rPr>
          <w:color w:val="auto"/>
          <w:sz w:val="24"/>
          <w:szCs w:val="24"/>
          <w:highlight w:val="none"/>
        </w:rPr>
      </w:pPr>
      <w:r>
        <w:rPr>
          <w:rFonts w:hint="eastAsia"/>
          <w:color w:val="auto"/>
          <w:sz w:val="24"/>
          <w:szCs w:val="24"/>
          <w:highlight w:val="none"/>
        </w:rPr>
        <w:t>3. 评标程序</w:t>
      </w:r>
    </w:p>
    <w:p>
      <w:pPr>
        <w:pStyle w:val="26"/>
        <w:rPr>
          <w:color w:val="auto"/>
          <w:sz w:val="24"/>
          <w:szCs w:val="24"/>
          <w:highlight w:val="none"/>
        </w:rPr>
      </w:pPr>
      <w:r>
        <w:rPr>
          <w:rFonts w:hint="eastAsia"/>
          <w:color w:val="auto"/>
          <w:sz w:val="24"/>
          <w:szCs w:val="24"/>
          <w:highlight w:val="none"/>
        </w:rPr>
        <w:t>3.1 初步评审</w:t>
      </w:r>
    </w:p>
    <w:p>
      <w:pPr>
        <w:spacing w:line="400" w:lineRule="exact"/>
        <w:ind w:firstLine="480" w:firstLineChars="200"/>
        <w:rPr>
          <w:color w:val="auto"/>
          <w:sz w:val="24"/>
          <w:szCs w:val="24"/>
          <w:highlight w:val="none"/>
        </w:rPr>
      </w:pPr>
      <w:r>
        <w:rPr>
          <w:rFonts w:hint="eastAsia"/>
          <w:color w:val="auto"/>
          <w:sz w:val="24"/>
          <w:szCs w:val="24"/>
          <w:highlight w:val="none"/>
        </w:rPr>
        <w:t>3.1.1 投标人有以下情形之一的，其投标作废标处理：</w:t>
      </w:r>
    </w:p>
    <w:p>
      <w:pPr>
        <w:spacing w:line="400" w:lineRule="exact"/>
        <w:ind w:firstLine="820" w:firstLineChars="342"/>
        <w:rPr>
          <w:color w:val="auto"/>
          <w:sz w:val="24"/>
          <w:szCs w:val="24"/>
          <w:highlight w:val="none"/>
        </w:rPr>
      </w:pPr>
      <w:r>
        <w:rPr>
          <w:rFonts w:hint="eastAsia"/>
          <w:color w:val="auto"/>
          <w:sz w:val="24"/>
          <w:szCs w:val="24"/>
          <w:highlight w:val="none"/>
        </w:rPr>
        <w:t>（1）第二章“投标人须知”第1.4.2项规定的任何一种情形的；</w:t>
      </w:r>
    </w:p>
    <w:p>
      <w:pPr>
        <w:spacing w:line="400" w:lineRule="exact"/>
        <w:ind w:firstLine="820" w:firstLineChars="342"/>
        <w:rPr>
          <w:color w:val="auto"/>
          <w:sz w:val="24"/>
          <w:szCs w:val="24"/>
          <w:highlight w:val="none"/>
        </w:rPr>
      </w:pPr>
      <w:r>
        <w:rPr>
          <w:rFonts w:hint="eastAsia"/>
          <w:color w:val="auto"/>
          <w:sz w:val="24"/>
          <w:szCs w:val="24"/>
          <w:highlight w:val="none"/>
        </w:rPr>
        <w:t>（2）串通投标或弄虚作假或有其他违法行为的；</w:t>
      </w:r>
    </w:p>
    <w:p>
      <w:pPr>
        <w:spacing w:line="400" w:lineRule="exact"/>
        <w:ind w:firstLine="820" w:firstLineChars="342"/>
        <w:rPr>
          <w:color w:val="auto"/>
          <w:sz w:val="24"/>
          <w:szCs w:val="24"/>
          <w:highlight w:val="none"/>
        </w:rPr>
      </w:pPr>
      <w:r>
        <w:rPr>
          <w:rFonts w:hint="eastAsia"/>
          <w:color w:val="auto"/>
          <w:sz w:val="24"/>
          <w:szCs w:val="24"/>
          <w:highlight w:val="none"/>
        </w:rPr>
        <w:t>（3）不按评标委员会要求澄清、说明或补正的。</w:t>
      </w:r>
    </w:p>
    <w:p>
      <w:pPr>
        <w:spacing w:line="400" w:lineRule="exact"/>
        <w:ind w:firstLine="480" w:firstLineChars="200"/>
        <w:rPr>
          <w:color w:val="auto"/>
          <w:sz w:val="24"/>
          <w:szCs w:val="24"/>
          <w:highlight w:val="none"/>
        </w:rPr>
      </w:pPr>
      <w:r>
        <w:rPr>
          <w:rFonts w:hint="eastAsia"/>
          <w:color w:val="auto"/>
          <w:sz w:val="24"/>
          <w:szCs w:val="24"/>
          <w:highlight w:val="none"/>
        </w:rPr>
        <w:t>3.1.3投标总报价有算术错误的，评标委员会按以下原则对投标总报价进行修正，修正的价格经投标人书面确认后具有约束力。投标人不接受修正价格的，其投标作废标处理。</w:t>
      </w:r>
    </w:p>
    <w:p>
      <w:pPr>
        <w:spacing w:line="400" w:lineRule="exact"/>
        <w:ind w:firstLine="820" w:firstLineChars="342"/>
        <w:rPr>
          <w:color w:val="auto"/>
          <w:sz w:val="24"/>
          <w:szCs w:val="24"/>
          <w:highlight w:val="none"/>
        </w:rPr>
      </w:pPr>
      <w:r>
        <w:rPr>
          <w:rFonts w:hint="eastAsia"/>
          <w:color w:val="auto"/>
          <w:sz w:val="24"/>
          <w:szCs w:val="24"/>
          <w:highlight w:val="none"/>
        </w:rPr>
        <w:t>（1）投标文件中的大写金额与小写金额不一致的，以大写金额为准；</w:t>
      </w:r>
    </w:p>
    <w:p>
      <w:pPr>
        <w:spacing w:line="400" w:lineRule="exact"/>
        <w:ind w:firstLine="820" w:firstLineChars="342"/>
        <w:rPr>
          <w:color w:val="auto"/>
          <w:sz w:val="24"/>
          <w:szCs w:val="24"/>
          <w:highlight w:val="none"/>
        </w:rPr>
      </w:pPr>
      <w:r>
        <w:rPr>
          <w:rFonts w:hint="eastAsia"/>
          <w:color w:val="auto"/>
          <w:sz w:val="24"/>
          <w:szCs w:val="24"/>
          <w:highlight w:val="none"/>
        </w:rPr>
        <w:t>（2）总价金额与依据单价计算出的结果不一致的，以单价金额为准修正总价，但单价金额小数点有明显错误的除外。</w:t>
      </w:r>
    </w:p>
    <w:p>
      <w:pPr>
        <w:spacing w:line="400" w:lineRule="exact"/>
        <w:ind w:firstLine="820" w:firstLineChars="342"/>
        <w:rPr>
          <w:color w:val="auto"/>
          <w:sz w:val="24"/>
          <w:szCs w:val="24"/>
          <w:highlight w:val="none"/>
        </w:rPr>
      </w:pPr>
      <w:r>
        <w:rPr>
          <w:rFonts w:hint="eastAsia"/>
          <w:color w:val="auto"/>
          <w:sz w:val="24"/>
          <w:szCs w:val="24"/>
          <w:highlight w:val="none"/>
        </w:rPr>
        <w:t>3.2 详细评审</w:t>
      </w:r>
    </w:p>
    <w:p>
      <w:pPr>
        <w:spacing w:line="400" w:lineRule="exact"/>
        <w:ind w:firstLine="820" w:firstLineChars="342"/>
        <w:rPr>
          <w:color w:val="auto"/>
          <w:sz w:val="24"/>
          <w:szCs w:val="24"/>
          <w:highlight w:val="none"/>
        </w:rPr>
      </w:pPr>
      <w:r>
        <w:rPr>
          <w:rFonts w:hint="eastAsia"/>
          <w:color w:val="auto"/>
          <w:sz w:val="24"/>
          <w:szCs w:val="24"/>
          <w:highlight w:val="none"/>
        </w:rPr>
        <w:t>3.2.1 评标委员会按本章第2.2款规定的量化因素和分值进行打分，并计算出综合评估得分。</w:t>
      </w:r>
    </w:p>
    <w:p>
      <w:pPr>
        <w:spacing w:line="400" w:lineRule="exact"/>
        <w:ind w:firstLine="820" w:firstLineChars="342"/>
        <w:rPr>
          <w:color w:val="auto"/>
          <w:sz w:val="24"/>
          <w:szCs w:val="24"/>
          <w:highlight w:val="none"/>
        </w:rPr>
      </w:pPr>
      <w:r>
        <w:rPr>
          <w:rFonts w:hint="eastAsia"/>
          <w:color w:val="auto"/>
          <w:sz w:val="24"/>
          <w:szCs w:val="24"/>
          <w:highlight w:val="none"/>
        </w:rPr>
        <w:t>(1）按本章第2.2.4(1）目规定的评审因素和分值对技术标计算出得分A ；</w:t>
      </w:r>
    </w:p>
    <w:p>
      <w:pPr>
        <w:spacing w:line="400" w:lineRule="exact"/>
        <w:ind w:firstLine="820" w:firstLineChars="342"/>
        <w:rPr>
          <w:color w:val="auto"/>
          <w:sz w:val="24"/>
          <w:szCs w:val="24"/>
          <w:highlight w:val="none"/>
        </w:rPr>
      </w:pPr>
      <w:r>
        <w:rPr>
          <w:rFonts w:hint="eastAsia"/>
          <w:color w:val="auto"/>
          <w:sz w:val="24"/>
          <w:szCs w:val="24"/>
          <w:highlight w:val="none"/>
        </w:rPr>
        <w:t>(2）按本章第2.2.4(2）目规定的评审因素和分值对商务标计算出得分B；</w:t>
      </w:r>
    </w:p>
    <w:p>
      <w:pPr>
        <w:spacing w:line="400" w:lineRule="exact"/>
        <w:ind w:firstLine="820" w:firstLineChars="342"/>
        <w:rPr>
          <w:color w:val="auto"/>
          <w:sz w:val="24"/>
          <w:szCs w:val="24"/>
          <w:highlight w:val="none"/>
        </w:rPr>
      </w:pPr>
      <w:r>
        <w:rPr>
          <w:rFonts w:hint="eastAsia"/>
          <w:color w:val="auto"/>
          <w:sz w:val="24"/>
          <w:szCs w:val="24"/>
          <w:highlight w:val="none"/>
        </w:rPr>
        <w:t>(3）按本章第2.2.4(3）目规定的评审因素和分值对综合标计算出得分C；</w:t>
      </w:r>
    </w:p>
    <w:p>
      <w:pPr>
        <w:spacing w:line="400" w:lineRule="exact"/>
        <w:ind w:firstLine="820" w:firstLineChars="342"/>
        <w:rPr>
          <w:color w:val="auto"/>
          <w:sz w:val="24"/>
          <w:szCs w:val="24"/>
          <w:highlight w:val="none"/>
        </w:rPr>
      </w:pPr>
      <w:r>
        <w:rPr>
          <w:rFonts w:hint="eastAsia"/>
          <w:color w:val="auto"/>
          <w:sz w:val="24"/>
          <w:szCs w:val="24"/>
          <w:highlight w:val="none"/>
        </w:rPr>
        <w:t>3.2.2 评分分值计算保留小数点后两位，小数点后第三位“四舍五入”。</w:t>
      </w:r>
    </w:p>
    <w:p>
      <w:pPr>
        <w:spacing w:line="400" w:lineRule="exact"/>
        <w:ind w:firstLine="820" w:firstLineChars="342"/>
        <w:rPr>
          <w:color w:val="auto"/>
          <w:sz w:val="24"/>
          <w:szCs w:val="24"/>
          <w:highlight w:val="none"/>
        </w:rPr>
      </w:pPr>
      <w:r>
        <w:rPr>
          <w:rFonts w:hint="eastAsia"/>
          <w:color w:val="auto"/>
          <w:sz w:val="24"/>
          <w:szCs w:val="24"/>
          <w:highlight w:val="none"/>
        </w:rPr>
        <w:t>3.2.3 每个评标委员会成员计算的投标人得分=A 十B 十C ；投标人的最终得分=评标委员会所有成员得分的算术平均值。</w:t>
      </w:r>
    </w:p>
    <w:p>
      <w:pPr>
        <w:spacing w:line="400" w:lineRule="exact"/>
        <w:ind w:firstLine="820" w:firstLineChars="342"/>
        <w:rPr>
          <w:color w:val="auto"/>
          <w:sz w:val="24"/>
          <w:szCs w:val="24"/>
          <w:highlight w:val="none"/>
        </w:rPr>
      </w:pPr>
      <w:r>
        <w:rPr>
          <w:rFonts w:hint="eastAsia"/>
          <w:color w:val="auto"/>
          <w:sz w:val="24"/>
          <w:szCs w:val="24"/>
          <w:highlight w:val="none"/>
        </w:rPr>
        <w:t>3.2.4 评标委员会发现投标人的报价明显低于其他投标总报价，或者在设有标底时明显低于标底，使得其投标总报价可能低于其个别成本的，应当要求该投标人作出书面说明并提供相应的证明材料。投标人不能合理说明或者不能提供相应证明材料的，由评标委员会认定该投标人以低于成本报价竞标，其投标作废标处理。</w:t>
      </w:r>
    </w:p>
    <w:p>
      <w:pPr>
        <w:spacing w:line="400" w:lineRule="exact"/>
        <w:ind w:firstLine="820" w:firstLineChars="342"/>
        <w:rPr>
          <w:color w:val="auto"/>
          <w:sz w:val="24"/>
          <w:szCs w:val="24"/>
          <w:highlight w:val="none"/>
        </w:rPr>
      </w:pPr>
      <w:r>
        <w:rPr>
          <w:rFonts w:hint="eastAsia"/>
          <w:color w:val="auto"/>
          <w:sz w:val="24"/>
          <w:szCs w:val="24"/>
          <w:highlight w:val="none"/>
        </w:rPr>
        <w:t>3.3 投标文件的澄清和补正</w:t>
      </w:r>
    </w:p>
    <w:p>
      <w:pPr>
        <w:spacing w:line="400" w:lineRule="exact"/>
        <w:ind w:firstLine="820" w:firstLineChars="342"/>
        <w:rPr>
          <w:color w:val="auto"/>
          <w:sz w:val="24"/>
          <w:szCs w:val="24"/>
          <w:highlight w:val="none"/>
        </w:rPr>
      </w:pPr>
      <w:r>
        <w:rPr>
          <w:rFonts w:hint="eastAsia"/>
          <w:color w:val="auto"/>
          <w:sz w:val="24"/>
          <w:szCs w:val="24"/>
          <w:highlight w:val="none"/>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820" w:firstLineChars="342"/>
        <w:rPr>
          <w:color w:val="auto"/>
          <w:sz w:val="24"/>
          <w:szCs w:val="24"/>
          <w:highlight w:val="none"/>
        </w:rPr>
      </w:pPr>
      <w:r>
        <w:rPr>
          <w:rFonts w:hint="eastAsia"/>
          <w:color w:val="auto"/>
          <w:sz w:val="24"/>
          <w:szCs w:val="24"/>
          <w:highlight w:val="none"/>
        </w:rPr>
        <w:t>3.3.2 澄清、说明和补正不得改变投标文件的实质性内容（算术性错误修正的除外）。投标人的书面澄清、说明和补正属于投标文件的组成部分。</w:t>
      </w:r>
    </w:p>
    <w:p>
      <w:pPr>
        <w:spacing w:line="400" w:lineRule="exact"/>
        <w:ind w:firstLine="820" w:firstLineChars="342"/>
        <w:rPr>
          <w:color w:val="auto"/>
          <w:sz w:val="24"/>
          <w:szCs w:val="24"/>
          <w:highlight w:val="none"/>
        </w:rPr>
      </w:pPr>
      <w:r>
        <w:rPr>
          <w:rFonts w:hint="eastAsia"/>
          <w:color w:val="auto"/>
          <w:sz w:val="24"/>
          <w:szCs w:val="24"/>
          <w:highlight w:val="none"/>
        </w:rPr>
        <w:t>3.3.3 评标委员会对投标人提交的澄清、说明或补正有疑问的，可以要求投标人进一步澄清、说明或补正，直至满足评标委员会的要求。</w:t>
      </w:r>
    </w:p>
    <w:p>
      <w:pPr>
        <w:spacing w:line="400" w:lineRule="exact"/>
        <w:ind w:firstLine="820" w:firstLineChars="342"/>
        <w:rPr>
          <w:color w:val="auto"/>
          <w:sz w:val="24"/>
          <w:szCs w:val="24"/>
          <w:highlight w:val="none"/>
        </w:rPr>
      </w:pPr>
      <w:r>
        <w:rPr>
          <w:rFonts w:hint="eastAsia"/>
          <w:color w:val="auto"/>
          <w:sz w:val="24"/>
          <w:szCs w:val="24"/>
          <w:highlight w:val="none"/>
        </w:rPr>
        <w:t>3.4 评标结果</w:t>
      </w:r>
    </w:p>
    <w:p>
      <w:pPr>
        <w:spacing w:line="400" w:lineRule="exact"/>
        <w:ind w:firstLine="820" w:firstLineChars="342"/>
        <w:rPr>
          <w:color w:val="auto"/>
          <w:sz w:val="24"/>
          <w:szCs w:val="24"/>
          <w:highlight w:val="none"/>
        </w:rPr>
      </w:pPr>
      <w:r>
        <w:rPr>
          <w:rFonts w:hint="eastAsia"/>
          <w:color w:val="auto"/>
          <w:sz w:val="24"/>
          <w:szCs w:val="24"/>
          <w:highlight w:val="none"/>
        </w:rPr>
        <w:t>3.4.1除第二章“投标人须知”前附表授权直接确定中标人外，评标委员会按照得分由高到低的顺序推荐中标候选人。</w:t>
      </w:r>
    </w:p>
    <w:p>
      <w:pPr>
        <w:spacing w:line="400" w:lineRule="exact"/>
        <w:ind w:firstLine="820" w:firstLineChars="342"/>
        <w:rPr>
          <w:rFonts w:hint="eastAsia"/>
          <w:color w:val="auto"/>
          <w:sz w:val="24"/>
          <w:szCs w:val="24"/>
          <w:highlight w:val="none"/>
        </w:rPr>
      </w:pPr>
      <w:r>
        <w:rPr>
          <w:rFonts w:hint="eastAsia"/>
          <w:color w:val="auto"/>
          <w:sz w:val="24"/>
          <w:szCs w:val="24"/>
          <w:highlight w:val="none"/>
        </w:rPr>
        <w:t>3.4.2 评标委员会完成评标后，应当向招标人提交评标报告。</w:t>
      </w:r>
    </w:p>
    <w:p>
      <w:pPr>
        <w:pStyle w:val="2"/>
        <w:rPr>
          <w:rFonts w:hint="eastAsia"/>
          <w:sz w:val="24"/>
          <w:szCs w:val="24"/>
          <w:highlight w:val="none"/>
        </w:rPr>
      </w:pPr>
    </w:p>
    <w:p>
      <w:pPr>
        <w:pStyle w:val="2"/>
        <w:rPr>
          <w:rFonts w:hint="eastAsia"/>
          <w:sz w:val="24"/>
          <w:szCs w:val="24"/>
          <w:highlight w:val="none"/>
        </w:rPr>
      </w:pPr>
      <w:r>
        <w:rPr>
          <w:rFonts w:hint="eastAsia"/>
          <w:b/>
          <w:bCs w:val="0"/>
          <w:sz w:val="24"/>
          <w:szCs w:val="24"/>
          <w:highlight w:val="none"/>
        </w:rPr>
        <w:t>4. 废标条件</w:t>
      </w:r>
    </w:p>
    <w:p>
      <w:pPr>
        <w:pStyle w:val="2"/>
        <w:rPr>
          <w:rFonts w:hint="eastAsia"/>
          <w:sz w:val="24"/>
          <w:szCs w:val="24"/>
          <w:highlight w:val="none"/>
        </w:rPr>
      </w:pPr>
      <w:r>
        <w:rPr>
          <w:rFonts w:hint="eastAsia"/>
          <w:sz w:val="24"/>
          <w:szCs w:val="24"/>
          <w:highlight w:val="none"/>
        </w:rPr>
        <w:t>投标人或其投标文件有下列情形之一的，其投标作废标处理：</w:t>
      </w:r>
    </w:p>
    <w:p>
      <w:pPr>
        <w:pStyle w:val="2"/>
        <w:rPr>
          <w:rFonts w:hint="eastAsia"/>
          <w:sz w:val="24"/>
          <w:szCs w:val="24"/>
          <w:highlight w:val="none"/>
        </w:rPr>
      </w:pPr>
      <w:r>
        <w:rPr>
          <w:rFonts w:hint="eastAsia"/>
          <w:sz w:val="24"/>
          <w:szCs w:val="24"/>
          <w:highlight w:val="none"/>
        </w:rPr>
        <w:t>4.1 有第二章“投标人须知”第1.4.</w:t>
      </w:r>
      <w:r>
        <w:rPr>
          <w:rFonts w:hint="eastAsia"/>
          <w:sz w:val="24"/>
          <w:szCs w:val="24"/>
          <w:highlight w:val="none"/>
          <w:lang w:val="en-US" w:eastAsia="zh-CN"/>
        </w:rPr>
        <w:t>2</w:t>
      </w:r>
      <w:r>
        <w:rPr>
          <w:rFonts w:hint="eastAsia"/>
          <w:sz w:val="24"/>
          <w:szCs w:val="24"/>
          <w:highlight w:val="none"/>
        </w:rPr>
        <w:t>项规定的任何一种情形的。</w:t>
      </w:r>
    </w:p>
    <w:p>
      <w:pPr>
        <w:pStyle w:val="2"/>
        <w:rPr>
          <w:rFonts w:hint="eastAsia"/>
          <w:sz w:val="24"/>
          <w:szCs w:val="24"/>
          <w:highlight w:val="none"/>
        </w:rPr>
      </w:pPr>
      <w:r>
        <w:rPr>
          <w:rFonts w:hint="eastAsia"/>
          <w:sz w:val="24"/>
          <w:szCs w:val="24"/>
          <w:highlight w:val="none"/>
        </w:rPr>
        <w:t>4.2 有串通投标或弄虚作假或有其他违法行为的。</w:t>
      </w:r>
    </w:p>
    <w:p>
      <w:pPr>
        <w:pStyle w:val="2"/>
        <w:rPr>
          <w:rFonts w:hint="eastAsia"/>
          <w:sz w:val="24"/>
          <w:szCs w:val="24"/>
          <w:highlight w:val="none"/>
        </w:rPr>
      </w:pPr>
      <w:r>
        <w:rPr>
          <w:rFonts w:hint="eastAsia"/>
          <w:sz w:val="24"/>
          <w:szCs w:val="24"/>
          <w:highlight w:val="none"/>
        </w:rPr>
        <w:t>4.3 不按评标委员会要求澄清、说明或补正的。</w:t>
      </w:r>
    </w:p>
    <w:p>
      <w:pPr>
        <w:pStyle w:val="2"/>
        <w:rPr>
          <w:rFonts w:hint="eastAsia"/>
          <w:sz w:val="24"/>
          <w:szCs w:val="24"/>
          <w:highlight w:val="none"/>
        </w:rPr>
      </w:pPr>
      <w:r>
        <w:rPr>
          <w:rFonts w:hint="eastAsia"/>
          <w:sz w:val="24"/>
          <w:szCs w:val="24"/>
          <w:highlight w:val="none"/>
        </w:rPr>
        <w:t>4.4 在形式评审、资格评审、响应性评审中，评标委员会认定投标人的投标文件不符合评标办法前附表中规定的任何一项评审标准的。</w:t>
      </w:r>
    </w:p>
    <w:p>
      <w:pPr>
        <w:pStyle w:val="2"/>
        <w:rPr>
          <w:rFonts w:hint="eastAsia"/>
          <w:sz w:val="24"/>
          <w:szCs w:val="24"/>
          <w:highlight w:val="none"/>
        </w:rPr>
      </w:pPr>
      <w:r>
        <w:rPr>
          <w:rFonts w:hint="eastAsia"/>
          <w:sz w:val="24"/>
          <w:szCs w:val="24"/>
          <w:highlight w:val="none"/>
        </w:rPr>
        <w:t>4.5 投标报价文件（投标函及投标函附录除外）未经有资格的工程造价专业人员签字并加盖执业专用章的；</w:t>
      </w:r>
    </w:p>
    <w:p>
      <w:pPr>
        <w:pStyle w:val="2"/>
        <w:rPr>
          <w:rFonts w:hint="eastAsia"/>
          <w:sz w:val="24"/>
          <w:szCs w:val="24"/>
          <w:highlight w:val="none"/>
        </w:rPr>
      </w:pPr>
      <w:r>
        <w:rPr>
          <w:rFonts w:hint="eastAsia"/>
          <w:sz w:val="24"/>
          <w:szCs w:val="24"/>
          <w:highlight w:val="none"/>
        </w:rPr>
        <w:t>4.6 评标委员会认定投标人以低于成本报价竞标的。</w:t>
      </w:r>
    </w:p>
    <w:p>
      <w:pPr>
        <w:pStyle w:val="2"/>
        <w:rPr>
          <w:rFonts w:hint="eastAsia"/>
          <w:sz w:val="24"/>
          <w:szCs w:val="24"/>
          <w:highlight w:val="none"/>
          <w:lang w:val="en-US" w:eastAsia="zh-CN"/>
        </w:rPr>
      </w:pPr>
      <w:r>
        <w:rPr>
          <w:rFonts w:hint="eastAsia"/>
          <w:sz w:val="24"/>
          <w:szCs w:val="24"/>
          <w:highlight w:val="none"/>
          <w:lang w:val="en-US" w:eastAsia="zh-CN"/>
        </w:rPr>
        <w:br w:type="page"/>
      </w:r>
    </w:p>
    <w:bookmarkEnd w:id="338"/>
    <w:bookmarkEnd w:id="339"/>
    <w:p>
      <w:pPr>
        <w:pStyle w:val="5"/>
        <w:ind w:left="0" w:leftChars="0" w:firstLine="0" w:firstLineChars="0"/>
        <w:jc w:val="center"/>
        <w:rPr>
          <w:rFonts w:hint="eastAsia" w:ascii="宋体"/>
          <w:color w:val="auto"/>
          <w:sz w:val="44"/>
          <w:szCs w:val="44"/>
          <w:highlight w:val="none"/>
        </w:rPr>
      </w:pPr>
      <w:bookmarkStart w:id="340" w:name="_Toc202941480"/>
      <w:bookmarkStart w:id="341" w:name="_Toc448154702"/>
      <w:bookmarkStart w:id="342" w:name="_Toc4326_WPSOffice_Level1"/>
      <w:r>
        <w:rPr>
          <w:rFonts w:hint="eastAsia" w:ascii="黑体" w:eastAsia="黑体"/>
          <w:b/>
          <w:color w:val="auto"/>
          <w:sz w:val="44"/>
          <w:szCs w:val="44"/>
          <w:highlight w:val="none"/>
        </w:rPr>
        <w:t>第四章 合同条款及格式</w:t>
      </w:r>
    </w:p>
    <w:p>
      <w:pPr>
        <w:jc w:val="center"/>
        <w:rPr>
          <w:rFonts w:hint="eastAsia" w:ascii="宋体"/>
          <w:color w:val="auto"/>
          <w:szCs w:val="21"/>
          <w:highlight w:val="none"/>
        </w:rPr>
      </w:pPr>
    </w:p>
    <w:p>
      <w:pPr>
        <w:tabs>
          <w:tab w:val="left" w:pos="810"/>
        </w:tabs>
        <w:jc w:val="center"/>
        <w:rPr>
          <w:rFonts w:hint="eastAsia" w:ascii="宋体"/>
          <w:color w:val="auto"/>
          <w:sz w:val="21"/>
          <w:szCs w:val="21"/>
          <w:highlight w:val="none"/>
        </w:rPr>
      </w:pPr>
      <w:r>
        <w:rPr>
          <w:rFonts w:hint="eastAsia" w:ascii="宋体"/>
          <w:color w:val="auto"/>
          <w:sz w:val="21"/>
          <w:szCs w:val="21"/>
          <w:highlight w:val="none"/>
        </w:rPr>
        <w:t>参照国家建设部、工商行政管理局制定的《建设工程施工合同》（GF—201</w:t>
      </w:r>
      <w:r>
        <w:rPr>
          <w:rFonts w:hint="eastAsia" w:ascii="宋体"/>
          <w:color w:val="auto"/>
          <w:sz w:val="21"/>
          <w:szCs w:val="21"/>
          <w:highlight w:val="none"/>
          <w:lang w:val="en-US" w:eastAsia="zh-CN"/>
        </w:rPr>
        <w:t>7</w:t>
      </w:r>
      <w:r>
        <w:rPr>
          <w:rFonts w:hint="eastAsia" w:ascii="宋体"/>
          <w:color w:val="auto"/>
          <w:sz w:val="21"/>
          <w:szCs w:val="21"/>
          <w:highlight w:val="none"/>
        </w:rPr>
        <w:t>—</w:t>
      </w:r>
      <w:r>
        <w:rPr>
          <w:rFonts w:hint="eastAsia" w:ascii="宋体"/>
          <w:color w:val="auto"/>
          <w:sz w:val="21"/>
          <w:szCs w:val="21"/>
          <w:highlight w:val="none"/>
          <w:lang w:val="en-US" w:eastAsia="zh-CN"/>
        </w:rPr>
        <w:t>0201</w:t>
      </w:r>
      <w:r>
        <w:rPr>
          <w:rFonts w:hint="eastAsia" w:ascii="宋体"/>
          <w:color w:val="auto"/>
          <w:sz w:val="21"/>
          <w:szCs w:val="21"/>
          <w:highlight w:val="none"/>
        </w:rPr>
        <w:t>）</w:t>
      </w:r>
    </w:p>
    <w:p>
      <w:pPr>
        <w:jc w:val="center"/>
        <w:rPr>
          <w:rFonts w:hint="eastAsia"/>
          <w:color w:val="auto"/>
          <w:sz w:val="21"/>
          <w:szCs w:val="21"/>
          <w:highlight w:val="none"/>
        </w:rPr>
      </w:pPr>
      <w:r>
        <w:rPr>
          <w:rFonts w:hint="eastAsia"/>
          <w:color w:val="auto"/>
          <w:sz w:val="21"/>
          <w:szCs w:val="21"/>
          <w:highlight w:val="none"/>
        </w:rPr>
        <w:t>（本合同仅供参考、</w:t>
      </w:r>
      <w:r>
        <w:rPr>
          <w:highlight w:val="none"/>
        </w:rPr>
        <w:t>以实际签订合同为准</w:t>
      </w:r>
      <w:r>
        <w:rPr>
          <w:rFonts w:hint="eastAsia"/>
          <w:color w:val="auto"/>
          <w:sz w:val="21"/>
          <w:szCs w:val="21"/>
          <w:highlight w:val="none"/>
        </w:rPr>
        <w:t>）</w:t>
      </w:r>
    </w:p>
    <w:p>
      <w:pPr>
        <w:jc w:val="center"/>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（GF—201</w:t>
      </w:r>
      <w:r>
        <w:rPr>
          <w:rFonts w:hint="eastAsia" w:ascii="Times New Roman" w:hAnsi="Times New Roman" w:eastAsia="仿宋_GB2312"/>
          <w:bCs/>
          <w:color w:val="000000"/>
          <w:sz w:val="32"/>
          <w:szCs w:val="32"/>
          <w:highlight w:val="none"/>
          <w:lang w:val="en-US" w:eastAsia="zh-CN"/>
        </w:rPr>
        <w:t>7</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lang w:val="en-US" w:eastAsia="zh-CN"/>
        </w:rPr>
        <w:t>0201</w:t>
      </w:r>
      <w:r>
        <w:rPr>
          <w:rFonts w:hint="eastAsia" w:ascii="Times New Roman" w:hAnsi="Times New Roman" w:eastAsia="仿宋_GB2312"/>
          <w:bCs/>
          <w:color w:val="000000"/>
          <w:sz w:val="32"/>
          <w:szCs w:val="32"/>
          <w:highlight w:val="none"/>
        </w:rPr>
        <w:t>）</w:t>
      </w:r>
    </w:p>
    <w:p>
      <w:pPr>
        <w:jc w:val="both"/>
        <w:rPr>
          <w:rFonts w:ascii="Times New Roman" w:hAnsi="Times New Roman" w:eastAsia="华文中宋"/>
          <w:b/>
          <w:color w:val="000000"/>
          <w:sz w:val="52"/>
          <w:szCs w:val="52"/>
          <w:highlight w:val="none"/>
        </w:rPr>
      </w:pPr>
    </w:p>
    <w:p>
      <w:pPr>
        <w:jc w:val="center"/>
        <w:rPr>
          <w:rFonts w:ascii="Times New Roman" w:hAnsi="Times New Roman" w:eastAsia="华文中宋"/>
          <w:b/>
          <w:color w:val="000000"/>
          <w:sz w:val="52"/>
          <w:szCs w:val="52"/>
          <w:highlight w:val="none"/>
        </w:rPr>
      </w:pPr>
    </w:p>
    <w:p>
      <w:pPr>
        <w:jc w:val="center"/>
        <w:rPr>
          <w:rFonts w:hint="eastAsia" w:ascii="Times New Roman" w:hAnsi="Times New Roman" w:eastAsia="华文中宋"/>
          <w:b/>
          <w:color w:val="000000"/>
          <w:sz w:val="72"/>
          <w:szCs w:val="52"/>
          <w:highlight w:val="none"/>
          <w:lang w:eastAsia="zh-CN"/>
        </w:rPr>
      </w:pPr>
      <w:r>
        <w:rPr>
          <w:rFonts w:ascii="Times New Roman" w:hAnsi="Times New Roman" w:eastAsia="华文中宋"/>
          <w:b/>
          <w:color w:val="000000"/>
          <w:sz w:val="72"/>
          <w:szCs w:val="52"/>
          <w:highlight w:val="none"/>
        </w:rPr>
        <w:t>建设工程施工合同</w:t>
      </w:r>
    </w:p>
    <w:p>
      <w:pPr>
        <w:jc w:val="center"/>
        <w:rPr>
          <w:rFonts w:ascii="Times New Roman" w:hAnsi="Times New Roman" w:eastAsia="华文中宋"/>
          <w:b/>
          <w:color w:val="000000"/>
          <w:sz w:val="52"/>
          <w:szCs w:val="52"/>
          <w:highlight w:val="none"/>
        </w:rPr>
      </w:pPr>
      <w:r>
        <w:rPr>
          <w:rFonts w:ascii="Times New Roman" w:hAnsi="Times New Roman" w:eastAsia="华文中宋"/>
          <w:b/>
          <w:color w:val="000000"/>
          <w:sz w:val="52"/>
          <w:szCs w:val="52"/>
          <w:highlight w:val="none"/>
        </w:rPr>
        <w:t>（示范文本）</w:t>
      </w:r>
    </w:p>
    <w:p>
      <w:pPr>
        <w:jc w:val="center"/>
        <w:rPr>
          <w:rFonts w:ascii="Times New Roman" w:hAnsi="Times New Roman" w:eastAsia="华文中宋"/>
          <w:b/>
          <w:color w:val="000000"/>
          <w:sz w:val="52"/>
          <w:szCs w:val="52"/>
          <w:highlight w:val="none"/>
        </w:rPr>
      </w:pPr>
    </w:p>
    <w:p>
      <w:pPr>
        <w:jc w:val="center"/>
        <w:rPr>
          <w:rFonts w:ascii="Times New Roman" w:hAnsi="Times New Roman" w:eastAsia="黑体"/>
          <w:b/>
          <w:color w:val="000000"/>
          <w:sz w:val="72"/>
          <w:szCs w:val="72"/>
          <w:highlight w:val="none"/>
        </w:rPr>
      </w:pPr>
    </w:p>
    <w:p>
      <w:pPr>
        <w:jc w:val="center"/>
        <w:rPr>
          <w:rFonts w:ascii="Times New Roman" w:hAnsi="Times New Roman" w:eastAsia="楷体_GB2312"/>
          <w:b/>
          <w:color w:val="000000"/>
          <w:sz w:val="72"/>
          <w:szCs w:val="72"/>
          <w:highlight w:val="none"/>
        </w:rPr>
      </w:pPr>
    </w:p>
    <w:p>
      <w:pPr>
        <w:rPr>
          <w:rFonts w:ascii="Times New Roman" w:hAnsi="Times New Roman"/>
          <w:b/>
          <w:color w:val="000000"/>
          <w:sz w:val="28"/>
          <w:szCs w:val="28"/>
          <w:highlight w:val="none"/>
        </w:rPr>
      </w:pPr>
    </w:p>
    <w:p>
      <w:pPr>
        <w:rPr>
          <w:rFonts w:ascii="Times New Roman" w:hAnsi="Times New Roman"/>
          <w:b/>
          <w:color w:val="000000"/>
          <w:sz w:val="28"/>
          <w:szCs w:val="28"/>
          <w:highlight w:val="none"/>
        </w:rPr>
      </w:pPr>
    </w:p>
    <w:p>
      <w:pPr>
        <w:rPr>
          <w:rFonts w:ascii="Times New Roman" w:hAnsi="Times New Roman"/>
          <w:b/>
          <w:color w:val="000000"/>
          <w:sz w:val="28"/>
          <w:szCs w:val="28"/>
          <w:highlight w:val="none"/>
        </w:rPr>
      </w:pPr>
    </w:p>
    <w:p>
      <w:pPr>
        <w:rPr>
          <w:rFonts w:ascii="Times New Roman" w:hAnsi="Times New Roman"/>
          <w:b/>
          <w:color w:val="000000"/>
          <w:sz w:val="28"/>
          <w:szCs w:val="28"/>
          <w:highlight w:val="none"/>
        </w:rPr>
      </w:pPr>
    </w:p>
    <w:p>
      <w:pPr>
        <w:rPr>
          <w:rFonts w:ascii="Times New Roman" w:hAnsi="Times New Roman"/>
          <w:b/>
          <w:color w:val="000000"/>
          <w:sz w:val="28"/>
          <w:szCs w:val="28"/>
          <w:highlight w:val="none"/>
        </w:rPr>
      </w:pPr>
    </w:p>
    <w:p>
      <w:pPr>
        <w:ind w:right="2719" w:rightChars="1295" w:firstLine="2738" w:firstLineChars="1304"/>
        <w:jc w:val="both"/>
        <w:rPr>
          <w:rFonts w:ascii="Times New Roman" w:hAnsi="Times New Roman"/>
          <w:b/>
          <w:color w:val="000000"/>
          <w:sz w:val="32"/>
          <w:szCs w:val="28"/>
          <w:highlight w:val="none"/>
        </w:rPr>
      </w:pPr>
      <w:r>
        <w:rPr>
          <w:rFonts w:ascii="Times New Roman" w:hAnsi="Times New Roman"/>
          <w:highlight w:val="none"/>
        </w:rPr>
        <mc:AlternateContent>
          <mc:Choice Requires="wps">
            <w:drawing>
              <wp:anchor distT="0" distB="0" distL="114300" distR="114300" simplePos="0" relativeHeight="251659264"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rFonts w:hint="eastAsia"/>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59264;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O0earoEAgAADAQAAA4AAAAAAAAAAQAgAAAAJwEA&#10;AGRycy9lMm9Eb2MueG1sUEsFBgAAAAAGAAYAWQEAAJ0FAAAAAA==&#10;">
                <v:fill on="f" focussize="0,0"/>
                <v:stroke color="#FFFFFF" joinstyle="miter"/>
                <v:imagedata o:title=""/>
                <o:lock v:ext="edit" aspectratio="f"/>
                <v:textbox>
                  <w:txbxContent>
                    <w:p>
                      <w:pPr>
                        <w:rPr>
                          <w:rFonts w:hint="eastAsia"/>
                          <w:b/>
                          <w:bCs/>
                          <w:sz w:val="32"/>
                        </w:rPr>
                      </w:pPr>
                      <w:r>
                        <w:rPr>
                          <w:rFonts w:hint="eastAsia"/>
                          <w:b/>
                          <w:bCs/>
                          <w:sz w:val="32"/>
                        </w:rPr>
                        <w:t>制定</w:t>
                      </w:r>
                    </w:p>
                  </w:txbxContent>
                </v:textbox>
              </v:shape>
            </w:pict>
          </mc:Fallback>
        </mc:AlternateContent>
      </w:r>
      <w:r>
        <w:rPr>
          <w:rFonts w:ascii="Times New Roman" w:hAnsi="Times New Roman"/>
          <w:b/>
          <w:color w:val="000000"/>
          <w:sz w:val="32"/>
          <w:szCs w:val="28"/>
          <w:highlight w:val="none"/>
        </w:rPr>
        <w:t>住</w:t>
      </w:r>
      <w:r>
        <w:rPr>
          <w:rFonts w:hint="eastAsia"/>
          <w:b/>
          <w:color w:val="000000"/>
          <w:sz w:val="32"/>
          <w:szCs w:val="28"/>
          <w:highlight w:val="none"/>
          <w:lang w:val="en-US" w:eastAsia="zh-CN"/>
        </w:rPr>
        <w:t xml:space="preserve"> </w:t>
      </w:r>
      <w:r>
        <w:rPr>
          <w:rFonts w:ascii="Times New Roman" w:hAnsi="Times New Roman"/>
          <w:b/>
          <w:color w:val="000000"/>
          <w:sz w:val="32"/>
          <w:szCs w:val="28"/>
          <w:highlight w:val="none"/>
        </w:rPr>
        <w:t>房</w:t>
      </w:r>
      <w:r>
        <w:rPr>
          <w:rFonts w:hint="eastAsia"/>
          <w:b/>
          <w:color w:val="000000"/>
          <w:sz w:val="32"/>
          <w:szCs w:val="28"/>
          <w:highlight w:val="none"/>
          <w:lang w:val="en-US" w:eastAsia="zh-CN"/>
        </w:rPr>
        <w:t xml:space="preserve"> </w:t>
      </w:r>
      <w:r>
        <w:rPr>
          <w:rFonts w:ascii="Times New Roman" w:hAnsi="Times New Roman"/>
          <w:b/>
          <w:color w:val="000000"/>
          <w:sz w:val="32"/>
          <w:szCs w:val="28"/>
          <w:highlight w:val="none"/>
        </w:rPr>
        <w:t>城</w:t>
      </w:r>
      <w:r>
        <w:rPr>
          <w:rFonts w:hint="eastAsia"/>
          <w:b/>
          <w:color w:val="000000"/>
          <w:sz w:val="32"/>
          <w:szCs w:val="28"/>
          <w:highlight w:val="none"/>
          <w:lang w:val="en-US" w:eastAsia="zh-CN"/>
        </w:rPr>
        <w:t xml:space="preserve"> </w:t>
      </w:r>
      <w:r>
        <w:rPr>
          <w:rFonts w:ascii="Times New Roman" w:hAnsi="Times New Roman"/>
          <w:b/>
          <w:color w:val="000000"/>
          <w:sz w:val="32"/>
          <w:szCs w:val="28"/>
          <w:highlight w:val="none"/>
        </w:rPr>
        <w:t>乡</w:t>
      </w:r>
      <w:r>
        <w:rPr>
          <w:rFonts w:hint="eastAsia"/>
          <w:b/>
          <w:color w:val="000000"/>
          <w:sz w:val="32"/>
          <w:szCs w:val="28"/>
          <w:highlight w:val="none"/>
          <w:lang w:val="en-US" w:eastAsia="zh-CN"/>
        </w:rPr>
        <w:t xml:space="preserve"> </w:t>
      </w:r>
      <w:r>
        <w:rPr>
          <w:rFonts w:ascii="Times New Roman" w:hAnsi="Times New Roman"/>
          <w:b/>
          <w:color w:val="000000"/>
          <w:sz w:val="32"/>
          <w:szCs w:val="28"/>
          <w:highlight w:val="none"/>
        </w:rPr>
        <w:t>建</w:t>
      </w:r>
      <w:r>
        <w:rPr>
          <w:rFonts w:hint="eastAsia"/>
          <w:b/>
          <w:color w:val="000000"/>
          <w:sz w:val="32"/>
          <w:szCs w:val="28"/>
          <w:highlight w:val="none"/>
          <w:lang w:val="en-US" w:eastAsia="zh-CN"/>
        </w:rPr>
        <w:t xml:space="preserve"> </w:t>
      </w:r>
      <w:r>
        <w:rPr>
          <w:rFonts w:ascii="Times New Roman" w:hAnsi="Times New Roman"/>
          <w:b/>
          <w:color w:val="000000"/>
          <w:sz w:val="32"/>
          <w:szCs w:val="28"/>
          <w:highlight w:val="none"/>
        </w:rPr>
        <w:t>设</w:t>
      </w:r>
      <w:r>
        <w:rPr>
          <w:rFonts w:hint="eastAsia"/>
          <w:b/>
          <w:color w:val="000000"/>
          <w:sz w:val="32"/>
          <w:szCs w:val="28"/>
          <w:highlight w:val="none"/>
          <w:lang w:val="en-US" w:eastAsia="zh-CN"/>
        </w:rPr>
        <w:t xml:space="preserve"> </w:t>
      </w:r>
      <w:r>
        <w:rPr>
          <w:rFonts w:ascii="Times New Roman" w:hAnsi="Times New Roman"/>
          <w:b/>
          <w:color w:val="000000"/>
          <w:sz w:val="32"/>
          <w:szCs w:val="28"/>
          <w:highlight w:val="none"/>
        </w:rPr>
        <w:t>部</w:t>
      </w:r>
    </w:p>
    <w:p>
      <w:pPr>
        <w:ind w:right="2719" w:rightChars="1295" w:firstLine="2750" w:firstLineChars="856"/>
        <w:jc w:val="both"/>
        <w:rPr>
          <w:rFonts w:ascii="Times New Roman" w:hAnsi="Times New Roman"/>
          <w:b/>
          <w:color w:val="000000"/>
          <w:sz w:val="32"/>
          <w:szCs w:val="28"/>
          <w:highlight w:val="none"/>
        </w:rPr>
      </w:pPr>
      <w:r>
        <w:rPr>
          <w:rFonts w:ascii="Times New Roman" w:hAnsi="Times New Roman"/>
          <w:b/>
          <w:color w:val="000000"/>
          <w:sz w:val="32"/>
          <w:szCs w:val="28"/>
          <w:highlight w:val="none"/>
        </w:rPr>
        <w:t>国家工商行政管理总局</w:t>
      </w:r>
    </w:p>
    <w:p>
      <w:pPr>
        <w:jc w:val="center"/>
        <w:rPr>
          <w:rFonts w:ascii="Times New Roman" w:hAnsi="Times New Roman" w:eastAsia="楷体_GB2312"/>
          <w:b/>
          <w:color w:val="auto"/>
          <w:sz w:val="72"/>
          <w:szCs w:val="72"/>
          <w:highlight w:val="none"/>
        </w:rPr>
      </w:pPr>
    </w:p>
    <w:p>
      <w:pPr>
        <w:rPr>
          <w:rFonts w:ascii="Times New Roman" w:hAnsi="Times New Roman"/>
          <w:b/>
          <w:color w:val="auto"/>
          <w:sz w:val="28"/>
          <w:szCs w:val="28"/>
          <w:highlight w:val="none"/>
        </w:rPr>
      </w:pPr>
    </w:p>
    <w:p>
      <w:pPr>
        <w:tabs>
          <w:tab w:val="left" w:pos="3495"/>
        </w:tabs>
        <w:bidi w:val="0"/>
        <w:jc w:val="left"/>
        <w:rPr>
          <w:rFonts w:hint="eastAsia" w:eastAsia="宋体"/>
          <w:highlight w:val="none"/>
          <w:lang w:eastAsia="zh-CN"/>
        </w:rPr>
        <w:sectPr>
          <w:footerReference r:id="rId10" w:type="first"/>
          <w:headerReference r:id="rId8" w:type="default"/>
          <w:footerReference r:id="rId9" w:type="default"/>
          <w:pgSz w:w="11906" w:h="16838"/>
          <w:pgMar w:top="1440" w:right="1080" w:bottom="1440" w:left="1080" w:header="851" w:footer="992" w:gutter="0"/>
          <w:pgNumType w:fmt="decimal"/>
          <w:cols w:space="720" w:num="1"/>
          <w:titlePg/>
          <w:docGrid w:type="lines" w:linePitch="312" w:charSpace="0"/>
        </w:sectPr>
      </w:pPr>
      <w:bookmarkStart w:id="343" w:name="_Toc296503025"/>
      <w:bookmarkStart w:id="344" w:name="_Toc296890982"/>
      <w:bookmarkStart w:id="345" w:name="_Toc351203480"/>
    </w:p>
    <w:p>
      <w:pPr>
        <w:pStyle w:val="10"/>
        <w:jc w:val="center"/>
        <w:rPr>
          <w:rFonts w:ascii="Times New Roman" w:hAnsi="Times New Roman" w:eastAsia="华文中宋"/>
          <w:b w:val="0"/>
          <w:color w:val="auto"/>
          <w:sz w:val="44"/>
          <w:szCs w:val="44"/>
          <w:highlight w:val="none"/>
        </w:rPr>
      </w:pPr>
      <w:r>
        <w:rPr>
          <w:rFonts w:ascii="华文中宋" w:hAnsi="华文中宋" w:eastAsia="华文中宋"/>
          <w:color w:val="auto"/>
          <w:sz w:val="44"/>
          <w:szCs w:val="44"/>
          <w:highlight w:val="none"/>
        </w:rPr>
        <w:t>第一部分 合同协议书</w:t>
      </w:r>
      <w:bookmarkEnd w:id="343"/>
      <w:bookmarkEnd w:id="344"/>
      <w:bookmarkEnd w:id="345"/>
    </w:p>
    <w:p>
      <w:pPr>
        <w:spacing w:line="360" w:lineRule="auto"/>
        <w:rPr>
          <w:rFonts w:ascii="Times New Roman" w:hAnsi="Times New Roman" w:eastAsia="仿宋_GB2312"/>
          <w:b/>
          <w:color w:val="auto"/>
          <w:sz w:val="24"/>
          <w:szCs w:val="24"/>
          <w:highlight w:val="none"/>
          <w:u w:val="single"/>
        </w:rPr>
      </w:pPr>
      <w:r>
        <w:rPr>
          <w:rFonts w:ascii="Times New Roman" w:hAnsi="Times New Roman" w:eastAsia="仿宋_GB2312"/>
          <w:b/>
          <w:color w:val="auto"/>
          <w:sz w:val="24"/>
          <w:szCs w:val="24"/>
          <w:highlight w:val="none"/>
        </w:rPr>
        <w:t>发包人（全称）：</w:t>
      </w:r>
      <w:r>
        <w:rPr>
          <w:rFonts w:ascii="Times New Roman" w:hAnsi="Times New Roman" w:eastAsia="仿宋_GB2312"/>
          <w:b/>
          <w:color w:val="auto"/>
          <w:sz w:val="24"/>
          <w:szCs w:val="24"/>
          <w:highlight w:val="none"/>
          <w:u w:val="single"/>
        </w:rPr>
        <w:t xml:space="preserve">      </w:t>
      </w:r>
      <w:r>
        <w:rPr>
          <w:rFonts w:hint="eastAsia" w:ascii="Times New Roman" w:hAnsi="Times New Roman" w:eastAsia="仿宋_GB2312"/>
          <w:b/>
          <w:color w:val="auto"/>
          <w:sz w:val="24"/>
          <w:szCs w:val="24"/>
          <w:highlight w:val="none"/>
          <w:u w:val="single"/>
        </w:rPr>
        <w:t xml:space="preserve"> </w:t>
      </w:r>
      <w:r>
        <w:rPr>
          <w:rFonts w:ascii="Times New Roman" w:hAnsi="Times New Roman" w:eastAsia="仿宋_GB2312"/>
          <w:b/>
          <w:color w:val="auto"/>
          <w:sz w:val="24"/>
          <w:szCs w:val="24"/>
          <w:highlight w:val="none"/>
          <w:u w:val="single"/>
        </w:rPr>
        <w:t xml:space="preserve">    </w:t>
      </w:r>
      <w:r>
        <w:rPr>
          <w:rFonts w:hint="eastAsia" w:ascii="Times New Roman" w:hAnsi="Times New Roman" w:eastAsia="仿宋_GB2312"/>
          <w:b/>
          <w:color w:val="auto"/>
          <w:sz w:val="24"/>
          <w:szCs w:val="24"/>
          <w:highlight w:val="none"/>
          <w:u w:val="single"/>
        </w:rPr>
        <w:t xml:space="preserve"> </w:t>
      </w:r>
      <w:r>
        <w:rPr>
          <w:rFonts w:ascii="Times New Roman" w:hAnsi="Times New Roman" w:eastAsia="仿宋_GB2312"/>
          <w:b/>
          <w:color w:val="auto"/>
          <w:sz w:val="24"/>
          <w:szCs w:val="24"/>
          <w:highlight w:val="none"/>
          <w:u w:val="single"/>
        </w:rPr>
        <w:t xml:space="preserve">   </w:t>
      </w:r>
      <w:r>
        <w:rPr>
          <w:rFonts w:hint="eastAsia" w:ascii="Times New Roman" w:hAnsi="Times New Roman" w:eastAsia="仿宋_GB2312"/>
          <w:b/>
          <w:color w:val="auto"/>
          <w:sz w:val="24"/>
          <w:szCs w:val="24"/>
          <w:highlight w:val="none"/>
          <w:u w:val="single"/>
        </w:rPr>
        <w:t xml:space="preserve">      </w:t>
      </w:r>
      <w:r>
        <w:rPr>
          <w:rFonts w:ascii="Times New Roman" w:hAnsi="Times New Roman" w:eastAsia="仿宋_GB2312"/>
          <w:b/>
          <w:color w:val="auto"/>
          <w:sz w:val="24"/>
          <w:szCs w:val="24"/>
          <w:highlight w:val="none"/>
          <w:u w:val="single"/>
        </w:rPr>
        <w:t></w:t>
      </w:r>
      <w:r>
        <w:rPr>
          <w:rFonts w:hint="eastAsia" w:ascii="Times New Roman" w:hAnsi="Times New Roman" w:eastAsia="仿宋_GB2312"/>
          <w:b/>
          <w:color w:val="auto"/>
          <w:sz w:val="24"/>
          <w:szCs w:val="24"/>
          <w:highlight w:val="none"/>
          <w:u w:val="single"/>
        </w:rPr>
        <w:t xml:space="preserve"> </w:t>
      </w:r>
      <w:r>
        <w:rPr>
          <w:rFonts w:ascii="Times New Roman" w:hAnsi="Times New Roman" w:eastAsia="仿宋_GB2312"/>
          <w:b/>
          <w:color w:val="auto"/>
          <w:sz w:val="24"/>
          <w:szCs w:val="24"/>
          <w:highlight w:val="none"/>
          <w:u w:val="single"/>
        </w:rPr>
        <w:t></w:t>
      </w:r>
      <w:r>
        <w:rPr>
          <w:rFonts w:hint="eastAsia" w:ascii="Times New Roman" w:hAnsi="Times New Roman" w:eastAsia="仿宋_GB2312"/>
          <w:b/>
          <w:color w:val="auto"/>
          <w:sz w:val="24"/>
          <w:szCs w:val="24"/>
          <w:highlight w:val="none"/>
          <w:u w:val="single"/>
        </w:rPr>
        <w:t xml:space="preserve"> </w:t>
      </w:r>
      <w:r>
        <w:rPr>
          <w:rFonts w:ascii="Times New Roman" w:hAnsi="Times New Roman" w:eastAsia="仿宋_GB2312"/>
          <w:b/>
          <w:color w:val="auto"/>
          <w:sz w:val="24"/>
          <w:szCs w:val="24"/>
          <w:highlight w:val="none"/>
          <w:u w:val="single"/>
        </w:rPr>
        <w:t></w:t>
      </w:r>
    </w:p>
    <w:p>
      <w:pPr>
        <w:spacing w:line="360" w:lineRule="auto"/>
        <w:rPr>
          <w:rFonts w:ascii="Times New Roman" w:hAnsi="Times New Roman" w:eastAsia="仿宋_GB2312"/>
          <w:b/>
          <w:color w:val="auto"/>
          <w:sz w:val="24"/>
          <w:szCs w:val="24"/>
          <w:highlight w:val="none"/>
          <w:u w:val="single"/>
        </w:rPr>
      </w:pPr>
      <w:r>
        <w:rPr>
          <w:rFonts w:ascii="Times New Roman" w:hAnsi="Times New Roman" w:eastAsia="仿宋_GB2312"/>
          <w:b/>
          <w:color w:val="auto"/>
          <w:sz w:val="24"/>
          <w:szCs w:val="24"/>
          <w:highlight w:val="none"/>
        </w:rPr>
        <w:t>承包人（全称）：</w:t>
      </w:r>
      <w:r>
        <w:rPr>
          <w:rFonts w:ascii="Times New Roman" w:hAnsi="Times New Roman" w:eastAsia="仿宋_GB2312"/>
          <w:b/>
          <w:color w:val="auto"/>
          <w:sz w:val="24"/>
          <w:szCs w:val="24"/>
          <w:highlight w:val="none"/>
          <w:u w:val="single"/>
        </w:rPr>
        <w:t xml:space="preserve">  </w:t>
      </w:r>
      <w:r>
        <w:rPr>
          <w:rFonts w:hint="eastAsia" w:ascii="Times New Roman" w:hAnsi="Times New Roman" w:eastAsia="仿宋_GB2312"/>
          <w:b/>
          <w:color w:val="auto"/>
          <w:sz w:val="24"/>
          <w:szCs w:val="24"/>
          <w:highlight w:val="none"/>
          <w:u w:val="single"/>
        </w:rPr>
        <w:t xml:space="preserve"> </w:t>
      </w:r>
      <w:r>
        <w:rPr>
          <w:rFonts w:ascii="Times New Roman" w:hAnsi="Times New Roman" w:eastAsia="仿宋_GB2312"/>
          <w:b/>
          <w:color w:val="auto"/>
          <w:sz w:val="24"/>
          <w:szCs w:val="24"/>
          <w:highlight w:val="none"/>
          <w:u w:val="single"/>
        </w:rPr>
        <w:t xml:space="preserve">       </w:t>
      </w:r>
      <w:r>
        <w:rPr>
          <w:rFonts w:hint="eastAsia" w:ascii="Times New Roman" w:hAnsi="Times New Roman" w:eastAsia="仿宋_GB2312"/>
          <w:b/>
          <w:color w:val="auto"/>
          <w:sz w:val="24"/>
          <w:szCs w:val="24"/>
          <w:highlight w:val="none"/>
          <w:u w:val="single"/>
        </w:rPr>
        <w:t xml:space="preserve"> </w:t>
      </w:r>
      <w:r>
        <w:rPr>
          <w:rFonts w:ascii="Times New Roman" w:hAnsi="Times New Roman" w:eastAsia="仿宋_GB2312"/>
          <w:b/>
          <w:color w:val="auto"/>
          <w:sz w:val="24"/>
          <w:szCs w:val="24"/>
          <w:highlight w:val="none"/>
          <w:u w:val="single"/>
        </w:rPr>
        <w:t xml:space="preserve">   </w:t>
      </w:r>
      <w:r>
        <w:rPr>
          <w:rFonts w:hint="eastAsia" w:ascii="Times New Roman" w:hAnsi="Times New Roman" w:eastAsia="仿宋_GB2312"/>
          <w:b/>
          <w:color w:val="auto"/>
          <w:sz w:val="24"/>
          <w:szCs w:val="24"/>
          <w:highlight w:val="none"/>
          <w:u w:val="single"/>
        </w:rPr>
        <w:t xml:space="preserve">   </w:t>
      </w:r>
      <w:r>
        <w:rPr>
          <w:rFonts w:ascii="Times New Roman" w:hAnsi="Times New Roman" w:eastAsia="仿宋_GB2312"/>
          <w:b/>
          <w:color w:val="auto"/>
          <w:sz w:val="24"/>
          <w:szCs w:val="24"/>
          <w:highlight w:val="none"/>
          <w:u w:val="single"/>
        </w:rPr>
        <w:t xml:space="preserve"> </w:t>
      </w:r>
      <w:r>
        <w:rPr>
          <w:rFonts w:hint="eastAsia" w:ascii="Times New Roman" w:hAnsi="Times New Roman" w:eastAsia="仿宋_GB2312"/>
          <w:b/>
          <w:color w:val="auto"/>
          <w:sz w:val="24"/>
          <w:szCs w:val="24"/>
          <w:highlight w:val="none"/>
          <w:u w:val="single"/>
        </w:rPr>
        <w:t xml:space="preserve">  </w:t>
      </w:r>
      <w:r>
        <w:rPr>
          <w:rFonts w:ascii="Times New Roman" w:hAnsi="Times New Roman" w:eastAsia="仿宋_GB2312"/>
          <w:b/>
          <w:color w:val="auto"/>
          <w:sz w:val="24"/>
          <w:szCs w:val="24"/>
          <w:highlight w:val="none"/>
          <w:u w:val="single"/>
        </w:rPr>
        <w:t></w:t>
      </w:r>
      <w:r>
        <w:rPr>
          <w:rFonts w:hint="eastAsia" w:ascii="Times New Roman" w:hAnsi="Times New Roman" w:eastAsia="仿宋_GB2312"/>
          <w:b/>
          <w:color w:val="auto"/>
          <w:sz w:val="24"/>
          <w:szCs w:val="24"/>
          <w:highlight w:val="none"/>
          <w:u w:val="single"/>
        </w:rPr>
        <w:t xml:space="preserve">  </w:t>
      </w:r>
      <w:r>
        <w:rPr>
          <w:rFonts w:ascii="Times New Roman" w:hAnsi="Times New Roman" w:eastAsia="仿宋_GB2312"/>
          <w:b/>
          <w:color w:val="auto"/>
          <w:sz w:val="24"/>
          <w:szCs w:val="24"/>
          <w:highlight w:val="none"/>
          <w:u w:val="single"/>
        </w:rPr>
        <w:t></w:t>
      </w:r>
    </w:p>
    <w:p>
      <w:pPr>
        <w:spacing w:line="360" w:lineRule="auto"/>
        <w:ind w:firstLine="480" w:firstLineChars="2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根据《中华人民共和</w:t>
      </w:r>
      <w:r>
        <w:rPr>
          <w:rFonts w:hint="eastAsia" w:eastAsia="仿宋_GB2312"/>
          <w:color w:val="auto"/>
          <w:sz w:val="24"/>
          <w:szCs w:val="24"/>
          <w:highlight w:val="none"/>
          <w:lang w:val="en-US" w:eastAsia="zh-CN"/>
        </w:rPr>
        <w:t>招投标法</w:t>
      </w:r>
      <w:r>
        <w:rPr>
          <w:rFonts w:ascii="Times New Roman" w:hAnsi="Times New Roman" w:eastAsia="仿宋_GB2312"/>
          <w:color w:val="auto"/>
          <w:sz w:val="24"/>
          <w:szCs w:val="24"/>
          <w:highlight w:val="none"/>
        </w:rPr>
        <w:t>》及有关法律规定，遵循平等、自愿、公平和诚实信用的原则，双方就</w:t>
      </w:r>
    </w:p>
    <w:p>
      <w:pPr>
        <w:spacing w:line="36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工程施工及有关事项协商一致</w:t>
      </w:r>
      <w:r>
        <w:rPr>
          <w:rFonts w:hint="eastAsia" w:ascii="Times New Roman" w:hAnsi="Times New Roman" w:eastAsia="仿宋_GB2312"/>
          <w:color w:val="auto"/>
          <w:sz w:val="24"/>
          <w:szCs w:val="24"/>
          <w:highlight w:val="none"/>
        </w:rPr>
        <w:t>，</w:t>
      </w:r>
      <w:r>
        <w:rPr>
          <w:rFonts w:ascii="Times New Roman" w:hAnsi="Times New Roman" w:eastAsia="仿宋_GB2312"/>
          <w:color w:val="auto"/>
          <w:sz w:val="24"/>
          <w:szCs w:val="24"/>
          <w:highlight w:val="none"/>
        </w:rPr>
        <w:t>共同达成如下协议：</w:t>
      </w:r>
    </w:p>
    <w:p>
      <w:pPr>
        <w:pStyle w:val="11"/>
        <w:spacing w:before="120" w:after="120" w:line="360" w:lineRule="auto"/>
        <w:rPr>
          <w:rFonts w:ascii="Times New Roman" w:hAnsi="Times New Roman" w:eastAsia="黑体"/>
          <w:bCs w:val="0"/>
          <w:color w:val="auto"/>
          <w:sz w:val="24"/>
          <w:szCs w:val="24"/>
          <w:highlight w:val="none"/>
        </w:rPr>
      </w:pPr>
      <w:r>
        <w:rPr>
          <w:rFonts w:ascii="Times New Roman" w:hAnsi="Times New Roman" w:eastAsia="黑体"/>
          <w:bCs w:val="0"/>
          <w:color w:val="auto"/>
          <w:sz w:val="24"/>
          <w:szCs w:val="24"/>
          <w:highlight w:val="none"/>
        </w:rPr>
        <w:t xml:space="preserve">   </w:t>
      </w:r>
      <w:r>
        <w:rPr>
          <w:rFonts w:ascii="Times New Roman" w:hAnsi="Times New Roman" w:eastAsia="黑体"/>
          <w:b w:val="0"/>
          <w:color w:val="auto"/>
          <w:sz w:val="24"/>
          <w:szCs w:val="24"/>
          <w:highlight w:val="none"/>
        </w:rPr>
        <w:t xml:space="preserve"> </w:t>
      </w:r>
      <w:bookmarkStart w:id="346" w:name="_Toc351203481"/>
      <w:r>
        <w:rPr>
          <w:rFonts w:ascii="Times New Roman" w:hAnsi="Times New Roman" w:eastAsia="黑体"/>
          <w:b w:val="0"/>
          <w:color w:val="auto"/>
          <w:sz w:val="24"/>
          <w:szCs w:val="24"/>
          <w:highlight w:val="none"/>
        </w:rPr>
        <w:t>一、工程概况</w:t>
      </w:r>
      <w:bookmarkEnd w:id="346"/>
    </w:p>
    <w:p>
      <w:pPr>
        <w:spacing w:line="360" w:lineRule="auto"/>
        <w:ind w:firstLine="470" w:firstLineChars="196"/>
        <w:rPr>
          <w:rFonts w:ascii="Times New Roman" w:hAnsi="Times New Roman" w:eastAsia="仿宋_GB2312"/>
          <w:color w:val="auto"/>
          <w:sz w:val="24"/>
          <w:szCs w:val="24"/>
          <w:highlight w:val="none"/>
          <w:u w:val="single"/>
        </w:rPr>
      </w:pPr>
      <w:r>
        <w:rPr>
          <w:rFonts w:ascii="Times New Roman" w:hAnsi="Times New Roman" w:eastAsia="仿宋_GB2312"/>
          <w:bCs/>
          <w:color w:val="auto"/>
          <w:sz w:val="24"/>
          <w:szCs w:val="24"/>
          <w:highlight w:val="none"/>
        </w:rPr>
        <w:t>1.工程名称</w:t>
      </w:r>
      <w:r>
        <w:rPr>
          <w:rFonts w:ascii="Times New Roman" w:hAnsi="Times New Roman" w:eastAsia="仿宋_GB2312"/>
          <w:color w:val="auto"/>
          <w:sz w:val="24"/>
          <w:szCs w:val="24"/>
          <w:highlight w:val="none"/>
        </w:rPr>
        <w:t>：</w:t>
      </w:r>
      <w:r>
        <w:rPr>
          <w:rFonts w:ascii="Times New Roman" w:hAnsi="Times New Roman" w:eastAsia="仿宋_GB2312"/>
          <w:color w:val="auto"/>
          <w:sz w:val="24"/>
          <w:szCs w:val="24"/>
          <w:highlight w:val="none"/>
          <w:u w:val="single"/>
        </w:rPr>
        <w:t></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w:t>
      </w:r>
    </w:p>
    <w:p>
      <w:pPr>
        <w:spacing w:line="360" w:lineRule="auto"/>
        <w:ind w:firstLine="470" w:firstLineChars="196"/>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2.工程地点：</w:t>
      </w:r>
      <w:r>
        <w:rPr>
          <w:rFonts w:ascii="Times New Roman" w:hAnsi="Times New Roman" w:eastAsia="仿宋_GB2312"/>
          <w:color w:val="auto"/>
          <w:sz w:val="24"/>
          <w:szCs w:val="24"/>
          <w:highlight w:val="none"/>
          <w:u w:val="single"/>
        </w:rPr>
        <w:t></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w:t>
      </w:r>
    </w:p>
    <w:p>
      <w:pPr>
        <w:spacing w:line="360" w:lineRule="auto"/>
        <w:ind w:firstLine="470" w:firstLineChars="196"/>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3.工程立项批准文号：</w:t>
      </w:r>
      <w:r>
        <w:rPr>
          <w:rFonts w:ascii="Times New Roman" w:hAnsi="Times New Roman" w:eastAsia="仿宋_GB2312"/>
          <w:color w:val="auto"/>
          <w:sz w:val="24"/>
          <w:szCs w:val="24"/>
          <w:highlight w:val="none"/>
          <w:u w:val="single"/>
        </w:rPr>
        <w:t></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bCs/>
          <w:color w:val="auto"/>
          <w:sz w:val="24"/>
          <w:szCs w:val="24"/>
          <w:highlight w:val="none"/>
        </w:rPr>
        <w:t>。</w:t>
      </w:r>
    </w:p>
    <w:p>
      <w:pPr>
        <w:spacing w:line="360" w:lineRule="auto"/>
        <w:ind w:firstLine="470" w:firstLineChars="196"/>
        <w:rPr>
          <w:rFonts w:hint="eastAsia"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4.资金来源：</w:t>
      </w:r>
      <w:r>
        <w:rPr>
          <w:rFonts w:ascii="Times New Roman" w:hAnsi="Times New Roman" w:eastAsia="仿宋_GB2312"/>
          <w:color w:val="auto"/>
          <w:sz w:val="24"/>
          <w:szCs w:val="24"/>
          <w:highlight w:val="none"/>
          <w:u w:val="single"/>
        </w:rPr>
        <w:t></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bCs/>
          <w:color w:val="auto"/>
          <w:sz w:val="24"/>
          <w:szCs w:val="24"/>
          <w:highlight w:val="none"/>
        </w:rPr>
        <w:t>。</w:t>
      </w:r>
    </w:p>
    <w:p>
      <w:pPr>
        <w:spacing w:line="360" w:lineRule="auto"/>
        <w:ind w:firstLine="470" w:firstLineChars="196"/>
        <w:rPr>
          <w:rFonts w:hint="eastAsia" w:ascii="Times New Roman" w:hAnsi="Times New Roman" w:eastAsia="仿宋_GB2312"/>
          <w:bCs/>
          <w:color w:val="auto"/>
          <w:sz w:val="24"/>
          <w:szCs w:val="24"/>
          <w:highlight w:val="none"/>
        </w:rPr>
      </w:pPr>
      <w:r>
        <w:rPr>
          <w:rFonts w:hint="eastAsia" w:ascii="Times New Roman" w:hAnsi="Times New Roman" w:eastAsia="仿宋_GB2312"/>
          <w:bCs/>
          <w:color w:val="auto"/>
          <w:sz w:val="24"/>
          <w:szCs w:val="24"/>
          <w:highlight w:val="none"/>
        </w:rPr>
        <w:t>5.工程内容：</w:t>
      </w:r>
      <w:r>
        <w:rPr>
          <w:rFonts w:ascii="Times New Roman" w:hAnsi="Times New Roman" w:eastAsia="仿宋_GB2312"/>
          <w:color w:val="auto"/>
          <w:sz w:val="24"/>
          <w:szCs w:val="24"/>
          <w:highlight w:val="none"/>
          <w:u w:val="single"/>
        </w:rPr>
        <w:t></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bCs/>
          <w:color w:val="auto"/>
          <w:sz w:val="24"/>
          <w:szCs w:val="24"/>
          <w:highlight w:val="none"/>
        </w:rPr>
        <w:t>。</w:t>
      </w:r>
    </w:p>
    <w:p>
      <w:pPr>
        <w:spacing w:line="360" w:lineRule="auto"/>
        <w:ind w:firstLine="470" w:firstLineChars="196"/>
        <w:rPr>
          <w:rFonts w:ascii="Times New Roman" w:hAnsi="Times New Roman" w:eastAsia="仿宋_GB2312"/>
          <w:bCs/>
          <w:color w:val="auto"/>
          <w:sz w:val="24"/>
          <w:szCs w:val="24"/>
          <w:highlight w:val="none"/>
        </w:rPr>
      </w:pPr>
      <w:r>
        <w:rPr>
          <w:rFonts w:hint="eastAsia" w:ascii="Times New Roman" w:hAnsi="Times New Roman" w:eastAsia="仿宋_GB2312"/>
          <w:color w:val="auto"/>
          <w:sz w:val="24"/>
          <w:szCs w:val="24"/>
          <w:highlight w:val="none"/>
        </w:rPr>
        <w:t>群体工程应附《</w:t>
      </w:r>
      <w:r>
        <w:rPr>
          <w:rFonts w:ascii="Times New Roman" w:hAnsi="Times New Roman" w:eastAsia="仿宋_GB2312"/>
          <w:color w:val="auto"/>
          <w:sz w:val="24"/>
          <w:szCs w:val="24"/>
          <w:highlight w:val="none"/>
        </w:rPr>
        <w:t>承包人承揽工程项目一览表</w:t>
      </w:r>
      <w:r>
        <w:rPr>
          <w:rFonts w:hint="eastAsia" w:ascii="Times New Roman" w:hAnsi="Times New Roman" w:eastAsia="仿宋_GB2312"/>
          <w:color w:val="auto"/>
          <w:sz w:val="24"/>
          <w:szCs w:val="24"/>
          <w:highlight w:val="none"/>
        </w:rPr>
        <w:t>》（附件1）。</w:t>
      </w:r>
    </w:p>
    <w:p>
      <w:pPr>
        <w:spacing w:line="360" w:lineRule="auto"/>
        <w:ind w:firstLine="470" w:firstLineChars="196"/>
        <w:rPr>
          <w:rFonts w:ascii="Times New Roman" w:hAnsi="Times New Roman" w:eastAsia="仿宋_GB2312"/>
          <w:bCs/>
          <w:color w:val="auto"/>
          <w:sz w:val="24"/>
          <w:szCs w:val="24"/>
          <w:highlight w:val="none"/>
        </w:rPr>
      </w:pPr>
      <w:r>
        <w:rPr>
          <w:rFonts w:hint="eastAsia" w:ascii="Times New Roman" w:hAnsi="Times New Roman" w:eastAsia="仿宋_GB2312"/>
          <w:bCs/>
          <w:color w:val="auto"/>
          <w:sz w:val="24"/>
          <w:szCs w:val="24"/>
          <w:highlight w:val="none"/>
        </w:rPr>
        <w:t>6</w:t>
      </w:r>
      <w:r>
        <w:rPr>
          <w:rFonts w:ascii="Times New Roman" w:hAnsi="Times New Roman" w:eastAsia="仿宋_GB2312"/>
          <w:bCs/>
          <w:color w:val="auto"/>
          <w:sz w:val="24"/>
          <w:szCs w:val="24"/>
          <w:highlight w:val="none"/>
        </w:rPr>
        <w:t>.工程承包范围：</w:t>
      </w:r>
    </w:p>
    <w:p>
      <w:pPr>
        <w:spacing w:line="360" w:lineRule="auto"/>
        <w:ind w:firstLine="463" w:firstLineChars="193"/>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u w:val="single"/>
        </w:rPr>
        <w:t></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w:t>
      </w:r>
    </w:p>
    <w:p>
      <w:pPr>
        <w:spacing w:line="360" w:lineRule="auto"/>
        <w:ind w:firstLine="480" w:firstLineChars="2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u w:val="single"/>
        </w:rPr>
        <w:t></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w:t>
      </w:r>
      <w:r>
        <w:rPr>
          <w:rFonts w:ascii="Times New Roman" w:hAnsi="Times New Roman" w:eastAsia="仿宋_GB2312"/>
          <w:color w:val="auto"/>
          <w:sz w:val="24"/>
          <w:szCs w:val="24"/>
          <w:highlight w:val="none"/>
        </w:rPr>
        <w:t>。</w:t>
      </w:r>
    </w:p>
    <w:p>
      <w:pPr>
        <w:pStyle w:val="11"/>
        <w:spacing w:before="120" w:after="120" w:line="360" w:lineRule="auto"/>
        <w:rPr>
          <w:rFonts w:ascii="Times New Roman" w:hAnsi="Times New Roman" w:eastAsia="黑体"/>
          <w:b w:val="0"/>
          <w:color w:val="auto"/>
          <w:sz w:val="24"/>
          <w:szCs w:val="24"/>
          <w:highlight w:val="none"/>
        </w:rPr>
      </w:pPr>
      <w:r>
        <w:rPr>
          <w:rFonts w:ascii="Times New Roman" w:hAnsi="Times New Roman" w:eastAsia="黑体"/>
          <w:b w:val="0"/>
          <w:color w:val="auto"/>
          <w:sz w:val="24"/>
          <w:szCs w:val="24"/>
          <w:highlight w:val="none"/>
        </w:rPr>
        <w:t xml:space="preserve">   </w:t>
      </w:r>
      <w:bookmarkStart w:id="347" w:name="_Toc351203482"/>
      <w:r>
        <w:rPr>
          <w:rFonts w:ascii="Times New Roman" w:hAnsi="Times New Roman" w:eastAsia="黑体"/>
          <w:b w:val="0"/>
          <w:color w:val="auto"/>
          <w:sz w:val="24"/>
          <w:szCs w:val="24"/>
          <w:highlight w:val="none"/>
        </w:rPr>
        <w:t>二、合同工期</w:t>
      </w:r>
      <w:bookmarkEnd w:id="347"/>
    </w:p>
    <w:p>
      <w:pPr>
        <w:spacing w:line="360" w:lineRule="auto"/>
        <w:ind w:firstLine="459"/>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计划开工日期：</w:t>
      </w:r>
      <w:r>
        <w:rPr>
          <w:rFonts w:ascii="Times New Roman" w:hAnsi="Times New Roman" w:eastAsia="仿宋_GB2312"/>
          <w:color w:val="auto"/>
          <w:sz w:val="24"/>
          <w:szCs w:val="24"/>
          <w:highlight w:val="none"/>
          <w:u w:val="single"/>
        </w:rPr>
        <w:t></w:t>
      </w:r>
      <w:r>
        <w:rPr>
          <w:rFonts w:ascii="Times New Roman" w:hAnsi="Times New Roman" w:eastAsia="仿宋_GB2312"/>
          <w:color w:val="auto"/>
          <w:sz w:val="24"/>
          <w:szCs w:val="24"/>
          <w:highlight w:val="none"/>
        </w:rPr>
        <w:t>年</w:t>
      </w:r>
      <w:r>
        <w:rPr>
          <w:rFonts w:ascii="Times New Roman" w:hAnsi="Times New Roman" w:eastAsia="仿宋_GB2312"/>
          <w:color w:val="auto"/>
          <w:sz w:val="24"/>
          <w:szCs w:val="24"/>
          <w:highlight w:val="none"/>
          <w:u w:val="single"/>
        </w:rPr>
        <w:t></w:t>
      </w:r>
      <w:r>
        <w:rPr>
          <w:rFonts w:ascii="Times New Roman" w:hAnsi="Times New Roman" w:eastAsia="仿宋_GB2312"/>
          <w:color w:val="auto"/>
          <w:sz w:val="24"/>
          <w:szCs w:val="24"/>
          <w:highlight w:val="none"/>
        </w:rPr>
        <w:t>月</w:t>
      </w:r>
      <w:r>
        <w:rPr>
          <w:rFonts w:ascii="Times New Roman" w:hAnsi="Times New Roman" w:eastAsia="仿宋_GB2312"/>
          <w:color w:val="auto"/>
          <w:sz w:val="24"/>
          <w:szCs w:val="24"/>
          <w:highlight w:val="none"/>
          <w:u w:val="single"/>
        </w:rPr>
        <w:t></w:t>
      </w:r>
      <w:r>
        <w:rPr>
          <w:rFonts w:ascii="Times New Roman" w:hAnsi="Times New Roman" w:eastAsia="仿宋_GB2312"/>
          <w:color w:val="auto"/>
          <w:sz w:val="24"/>
          <w:szCs w:val="24"/>
          <w:highlight w:val="none"/>
        </w:rPr>
        <w:t>日。</w:t>
      </w:r>
    </w:p>
    <w:p>
      <w:pPr>
        <w:spacing w:line="360" w:lineRule="auto"/>
        <w:ind w:firstLine="459"/>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计划竣工日期：</w:t>
      </w:r>
      <w:r>
        <w:rPr>
          <w:rFonts w:ascii="Times New Roman" w:hAnsi="Times New Roman" w:eastAsia="仿宋_GB2312"/>
          <w:color w:val="auto"/>
          <w:sz w:val="24"/>
          <w:szCs w:val="24"/>
          <w:highlight w:val="none"/>
          <w:u w:val="single"/>
        </w:rPr>
        <w:t></w:t>
      </w:r>
      <w:r>
        <w:rPr>
          <w:rFonts w:ascii="Times New Roman" w:hAnsi="Times New Roman" w:eastAsia="仿宋_GB2312"/>
          <w:color w:val="auto"/>
          <w:sz w:val="24"/>
          <w:szCs w:val="24"/>
          <w:highlight w:val="none"/>
        </w:rPr>
        <w:t>年</w:t>
      </w:r>
      <w:r>
        <w:rPr>
          <w:rFonts w:ascii="Times New Roman" w:hAnsi="Times New Roman" w:eastAsia="仿宋_GB2312"/>
          <w:color w:val="auto"/>
          <w:sz w:val="24"/>
          <w:szCs w:val="24"/>
          <w:highlight w:val="none"/>
          <w:u w:val="single"/>
        </w:rPr>
        <w:t></w:t>
      </w:r>
      <w:r>
        <w:rPr>
          <w:rFonts w:ascii="Times New Roman" w:hAnsi="Times New Roman" w:eastAsia="仿宋_GB2312"/>
          <w:color w:val="auto"/>
          <w:sz w:val="24"/>
          <w:szCs w:val="24"/>
          <w:highlight w:val="none"/>
        </w:rPr>
        <w:t>月</w:t>
      </w:r>
      <w:r>
        <w:rPr>
          <w:rFonts w:ascii="Times New Roman" w:hAnsi="Times New Roman" w:eastAsia="仿宋_GB2312"/>
          <w:color w:val="auto"/>
          <w:sz w:val="24"/>
          <w:szCs w:val="24"/>
          <w:highlight w:val="none"/>
          <w:u w:val="single"/>
        </w:rPr>
        <w:t></w:t>
      </w:r>
      <w:r>
        <w:rPr>
          <w:rFonts w:ascii="Times New Roman" w:hAnsi="Times New Roman" w:eastAsia="仿宋_GB2312"/>
          <w:color w:val="auto"/>
          <w:sz w:val="24"/>
          <w:szCs w:val="24"/>
          <w:highlight w:val="none"/>
        </w:rPr>
        <w:t>日。</w:t>
      </w:r>
    </w:p>
    <w:p>
      <w:pPr>
        <w:spacing w:line="360" w:lineRule="auto"/>
        <w:ind w:firstLine="459"/>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工期总日历天数：</w:t>
      </w:r>
      <w:r>
        <w:rPr>
          <w:rFonts w:ascii="Times New Roman" w:hAnsi="Times New Roman" w:eastAsia="仿宋_GB2312"/>
          <w:color w:val="auto"/>
          <w:sz w:val="24"/>
          <w:szCs w:val="24"/>
          <w:highlight w:val="none"/>
          <w:u w:val="single"/>
        </w:rPr>
        <w:t></w:t>
      </w:r>
      <w:r>
        <w:rPr>
          <w:rFonts w:ascii="Times New Roman" w:hAnsi="Times New Roman" w:eastAsia="仿宋_GB2312"/>
          <w:color w:val="auto"/>
          <w:sz w:val="24"/>
          <w:szCs w:val="24"/>
          <w:highlight w:val="none"/>
        </w:rPr>
        <w:t>天。工期总日历天数与根据前述计划开竣工日期计算的工期天数不一致的，以工期总日历天数为准。</w:t>
      </w:r>
    </w:p>
    <w:p>
      <w:pPr>
        <w:pStyle w:val="11"/>
        <w:spacing w:before="120" w:after="120" w:line="360" w:lineRule="auto"/>
        <w:rPr>
          <w:rFonts w:ascii="Times New Roman" w:hAnsi="Times New Roman" w:eastAsia="黑体"/>
          <w:bCs w:val="0"/>
          <w:color w:val="auto"/>
          <w:sz w:val="24"/>
          <w:szCs w:val="24"/>
          <w:highlight w:val="none"/>
        </w:rPr>
      </w:pPr>
      <w:r>
        <w:rPr>
          <w:rFonts w:ascii="Times New Roman" w:hAnsi="Times New Roman" w:eastAsia="黑体"/>
          <w:bCs w:val="0"/>
          <w:color w:val="auto"/>
          <w:sz w:val="24"/>
          <w:szCs w:val="24"/>
          <w:highlight w:val="none"/>
        </w:rPr>
        <w:t xml:space="preserve">    </w:t>
      </w:r>
      <w:bookmarkStart w:id="348" w:name="_Toc351203483"/>
      <w:r>
        <w:rPr>
          <w:rFonts w:ascii="Times New Roman" w:hAnsi="Times New Roman" w:eastAsia="黑体"/>
          <w:b w:val="0"/>
          <w:color w:val="auto"/>
          <w:sz w:val="24"/>
          <w:szCs w:val="24"/>
          <w:highlight w:val="none"/>
        </w:rPr>
        <w:t>三、质量标准</w:t>
      </w:r>
      <w:bookmarkEnd w:id="348"/>
    </w:p>
    <w:p>
      <w:pPr>
        <w:spacing w:line="360" w:lineRule="auto"/>
        <w:ind w:firstLine="459"/>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工程质量符合</w:t>
      </w:r>
      <w:r>
        <w:rPr>
          <w:rFonts w:ascii="Times New Roman" w:hAnsi="Times New Roman" w:eastAsia="仿宋_GB2312"/>
          <w:color w:val="auto"/>
          <w:sz w:val="24"/>
          <w:szCs w:val="24"/>
          <w:highlight w:val="none"/>
          <w:u w:val="single"/>
        </w:rPr>
        <w:t></w:t>
      </w:r>
      <w:r>
        <w:rPr>
          <w:rFonts w:ascii="Times New Roman" w:hAnsi="Times New Roman" w:eastAsia="仿宋_GB2312"/>
          <w:color w:val="auto"/>
          <w:sz w:val="24"/>
          <w:szCs w:val="24"/>
          <w:highlight w:val="none"/>
        </w:rPr>
        <w:t>标准。</w:t>
      </w:r>
    </w:p>
    <w:p>
      <w:pPr>
        <w:pStyle w:val="11"/>
        <w:spacing w:before="120" w:after="120" w:line="360" w:lineRule="auto"/>
        <w:rPr>
          <w:rFonts w:ascii="Times New Roman" w:hAnsi="Times New Roman" w:eastAsia="黑体"/>
          <w:bCs w:val="0"/>
          <w:color w:val="auto"/>
          <w:sz w:val="24"/>
          <w:szCs w:val="24"/>
          <w:highlight w:val="none"/>
        </w:rPr>
      </w:pPr>
      <w:r>
        <w:rPr>
          <w:rFonts w:ascii="Times New Roman" w:hAnsi="Times New Roman" w:eastAsia="黑体"/>
          <w:bCs w:val="0"/>
          <w:color w:val="auto"/>
          <w:sz w:val="24"/>
          <w:szCs w:val="24"/>
          <w:highlight w:val="none"/>
        </w:rPr>
        <w:t xml:space="preserve">   </w:t>
      </w:r>
      <w:r>
        <w:rPr>
          <w:rFonts w:ascii="Times New Roman" w:hAnsi="Times New Roman" w:eastAsia="黑体"/>
          <w:b w:val="0"/>
          <w:color w:val="auto"/>
          <w:sz w:val="24"/>
          <w:szCs w:val="24"/>
          <w:highlight w:val="none"/>
        </w:rPr>
        <w:t xml:space="preserve"> </w:t>
      </w:r>
      <w:bookmarkStart w:id="349" w:name="_Toc351203484"/>
      <w:r>
        <w:rPr>
          <w:rFonts w:ascii="Times New Roman" w:hAnsi="Times New Roman" w:eastAsia="黑体"/>
          <w:b w:val="0"/>
          <w:color w:val="auto"/>
          <w:sz w:val="24"/>
          <w:szCs w:val="24"/>
          <w:highlight w:val="none"/>
        </w:rPr>
        <w:t>四、签约合同价与合同价格形式</w:t>
      </w:r>
      <w:bookmarkEnd w:id="349"/>
      <w:r>
        <w:rPr>
          <w:rFonts w:ascii="Times New Roman" w:hAnsi="Times New Roman" w:eastAsia="黑体"/>
          <w:b w:val="0"/>
          <w:color w:val="auto"/>
          <w:sz w:val="24"/>
          <w:szCs w:val="24"/>
          <w:highlight w:val="none"/>
        </w:rPr>
        <w:tab/>
      </w:r>
    </w:p>
    <w:p>
      <w:pPr>
        <w:spacing w:line="360" w:lineRule="auto"/>
        <w:ind w:firstLine="480" w:firstLineChars="2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1.签约合同价为：</w:t>
      </w:r>
    </w:p>
    <w:p>
      <w:pPr>
        <w:spacing w:line="360" w:lineRule="auto"/>
        <w:ind w:firstLine="600" w:firstLineChars="25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人民币（大写）</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元)；</w:t>
      </w:r>
    </w:p>
    <w:p>
      <w:pPr>
        <w:spacing w:line="360" w:lineRule="auto"/>
        <w:ind w:firstLine="480" w:firstLineChars="2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其中：</w:t>
      </w:r>
    </w:p>
    <w:p>
      <w:pPr>
        <w:spacing w:line="360" w:lineRule="auto"/>
        <w:ind w:firstLine="480" w:firstLineChars="2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（1）安全文明施工费：</w:t>
      </w:r>
    </w:p>
    <w:p>
      <w:pPr>
        <w:spacing w:line="360" w:lineRule="auto"/>
        <w:ind w:firstLine="1080" w:firstLineChars="45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人民币（大写）</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元)；</w:t>
      </w:r>
    </w:p>
    <w:p>
      <w:pPr>
        <w:spacing w:line="360" w:lineRule="auto"/>
        <w:ind w:firstLine="480" w:firstLineChars="2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（2）材料和工程设备暂估价金额：</w:t>
      </w:r>
    </w:p>
    <w:p>
      <w:pPr>
        <w:spacing w:line="360" w:lineRule="auto"/>
        <w:ind w:firstLine="1080" w:firstLineChars="45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人民币（大写）</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元)；</w:t>
      </w:r>
    </w:p>
    <w:p>
      <w:pPr>
        <w:spacing w:line="360" w:lineRule="auto"/>
        <w:ind w:firstLine="480" w:firstLineChars="2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（3）专业工程暂估价金额：</w:t>
      </w:r>
    </w:p>
    <w:p>
      <w:pPr>
        <w:spacing w:line="360" w:lineRule="auto"/>
        <w:ind w:firstLine="1080" w:firstLineChars="45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人民币（大写）</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元)；</w:t>
      </w:r>
    </w:p>
    <w:p>
      <w:pPr>
        <w:spacing w:line="360" w:lineRule="auto"/>
        <w:ind w:firstLine="480" w:firstLineChars="2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（4）暂列金额：</w:t>
      </w:r>
    </w:p>
    <w:p>
      <w:pPr>
        <w:spacing w:line="360" w:lineRule="auto"/>
        <w:ind w:firstLine="1080" w:firstLineChars="45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人民币（大写）</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元)。</w:t>
      </w:r>
    </w:p>
    <w:p>
      <w:pPr>
        <w:spacing w:line="360" w:lineRule="auto"/>
        <w:ind w:firstLine="480" w:firstLineChars="200"/>
        <w:rPr>
          <w:rFonts w:ascii="Times New Roman" w:hAnsi="Times New Roman" w:eastAsia="黑体"/>
          <w:b w:val="0"/>
          <w:color w:val="auto"/>
          <w:sz w:val="24"/>
          <w:szCs w:val="24"/>
          <w:highlight w:val="none"/>
        </w:rPr>
      </w:pPr>
      <w:r>
        <w:rPr>
          <w:rFonts w:ascii="Times New Roman" w:hAnsi="Times New Roman" w:eastAsia="仿宋_GB2312"/>
          <w:color w:val="auto"/>
          <w:sz w:val="24"/>
          <w:szCs w:val="24"/>
          <w:highlight w:val="none"/>
        </w:rPr>
        <w:t>2.合同价格形式：</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w:t>
      </w:r>
      <w:bookmarkStart w:id="350" w:name="_Toc351203485"/>
    </w:p>
    <w:p>
      <w:pPr>
        <w:pStyle w:val="11"/>
        <w:spacing w:before="120" w:after="120" w:line="360" w:lineRule="auto"/>
        <w:rPr>
          <w:rFonts w:hint="eastAsia" w:ascii="Times New Roman" w:hAnsi="Times New Roman" w:eastAsia="黑体"/>
          <w:b w:val="0"/>
          <w:color w:val="auto"/>
          <w:sz w:val="24"/>
          <w:szCs w:val="24"/>
          <w:highlight w:val="none"/>
          <w:lang w:eastAsia="zh-CN"/>
        </w:rPr>
      </w:pPr>
      <w:r>
        <w:rPr>
          <w:rFonts w:ascii="Times New Roman" w:hAnsi="Times New Roman" w:eastAsia="黑体"/>
          <w:b w:val="0"/>
          <w:color w:val="auto"/>
          <w:sz w:val="24"/>
          <w:szCs w:val="24"/>
          <w:highlight w:val="none"/>
        </w:rPr>
        <w:t>五、</w:t>
      </w:r>
      <w:bookmarkEnd w:id="350"/>
      <w:r>
        <w:rPr>
          <w:rFonts w:hint="eastAsia" w:ascii="Times New Roman" w:hAnsi="Times New Roman"/>
          <w:b w:val="0"/>
          <w:color w:val="auto"/>
          <w:sz w:val="24"/>
          <w:szCs w:val="24"/>
          <w:highlight w:val="none"/>
          <w:lang w:eastAsia="zh-CN"/>
        </w:rPr>
        <w:t>项目经理</w:t>
      </w:r>
    </w:p>
    <w:p>
      <w:pPr>
        <w:spacing w:line="360" w:lineRule="auto"/>
        <w:ind w:firstLine="480" w:firstLineChars="2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承包人</w:t>
      </w:r>
      <w:r>
        <w:rPr>
          <w:rFonts w:hint="eastAsia" w:eastAsia="仿宋_GB2312"/>
          <w:color w:val="auto"/>
          <w:sz w:val="24"/>
          <w:szCs w:val="24"/>
          <w:highlight w:val="none"/>
          <w:lang w:eastAsia="zh-CN"/>
        </w:rPr>
        <w:t>项目经理</w:t>
      </w:r>
      <w:r>
        <w:rPr>
          <w:rFonts w:ascii="Times New Roman" w:hAnsi="Times New Roman" w:eastAsia="仿宋_GB2312"/>
          <w:color w:val="auto"/>
          <w:sz w:val="24"/>
          <w:szCs w:val="24"/>
          <w:highlight w:val="none"/>
        </w:rPr>
        <w:t>：</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w:t>
      </w:r>
      <w:r>
        <w:rPr>
          <w:rFonts w:ascii="Times New Roman" w:hAnsi="Times New Roman" w:eastAsia="仿宋_GB2312"/>
          <w:color w:val="auto"/>
          <w:sz w:val="24"/>
          <w:szCs w:val="24"/>
          <w:highlight w:val="none"/>
        </w:rPr>
        <w:t>。</w:t>
      </w:r>
    </w:p>
    <w:p>
      <w:pPr>
        <w:pStyle w:val="11"/>
        <w:spacing w:before="120" w:after="120" w:line="360" w:lineRule="auto"/>
        <w:rPr>
          <w:rFonts w:ascii="Times New Roman" w:hAnsi="Times New Roman" w:eastAsia="黑体"/>
          <w:bCs w:val="0"/>
          <w:color w:val="auto"/>
          <w:sz w:val="24"/>
          <w:szCs w:val="24"/>
          <w:highlight w:val="none"/>
        </w:rPr>
      </w:pPr>
      <w:r>
        <w:rPr>
          <w:rFonts w:ascii="Times New Roman" w:hAnsi="Times New Roman" w:eastAsia="黑体"/>
          <w:bCs w:val="0"/>
          <w:color w:val="auto"/>
          <w:sz w:val="24"/>
          <w:szCs w:val="24"/>
          <w:highlight w:val="none"/>
        </w:rPr>
        <w:t xml:space="preserve">   </w:t>
      </w:r>
      <w:r>
        <w:rPr>
          <w:rFonts w:ascii="Times New Roman" w:hAnsi="Times New Roman" w:eastAsia="黑体"/>
          <w:b w:val="0"/>
          <w:color w:val="auto"/>
          <w:sz w:val="24"/>
          <w:szCs w:val="24"/>
          <w:highlight w:val="none"/>
        </w:rPr>
        <w:t xml:space="preserve"> </w:t>
      </w:r>
      <w:bookmarkStart w:id="351" w:name="_Toc351203486"/>
      <w:r>
        <w:rPr>
          <w:rFonts w:ascii="Times New Roman" w:hAnsi="Times New Roman" w:eastAsia="黑体"/>
          <w:b w:val="0"/>
          <w:color w:val="auto"/>
          <w:sz w:val="24"/>
          <w:szCs w:val="24"/>
          <w:highlight w:val="none"/>
        </w:rPr>
        <w:t>六、合同文件构成</w:t>
      </w:r>
      <w:bookmarkEnd w:id="351"/>
    </w:p>
    <w:p>
      <w:pPr>
        <w:spacing w:line="360" w:lineRule="auto"/>
        <w:ind w:firstLine="480" w:firstLineChars="200"/>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本协议书与下列文件一起构成合同文件：</w:t>
      </w:r>
    </w:p>
    <w:p>
      <w:pPr>
        <w:autoSpaceDE w:val="0"/>
        <w:autoSpaceDN w:val="0"/>
        <w:adjustRightInd w:val="0"/>
        <w:spacing w:line="360" w:lineRule="auto"/>
        <w:ind w:firstLine="480" w:firstLineChars="200"/>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（1）中标通知书（如果有）；</w:t>
      </w:r>
    </w:p>
    <w:p>
      <w:pPr>
        <w:autoSpaceDE w:val="0"/>
        <w:autoSpaceDN w:val="0"/>
        <w:adjustRightInd w:val="0"/>
        <w:spacing w:line="360" w:lineRule="auto"/>
        <w:ind w:firstLine="480" w:firstLineChars="200"/>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 xml:space="preserve">（2）投标函及其附录（如果有）； </w:t>
      </w:r>
    </w:p>
    <w:p>
      <w:pPr>
        <w:autoSpaceDE w:val="0"/>
        <w:autoSpaceDN w:val="0"/>
        <w:adjustRightInd w:val="0"/>
        <w:spacing w:line="360" w:lineRule="auto"/>
        <w:ind w:firstLine="480" w:firstLineChars="200"/>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（3）专用合同条款及其附件；</w:t>
      </w:r>
    </w:p>
    <w:p>
      <w:pPr>
        <w:autoSpaceDE w:val="0"/>
        <w:autoSpaceDN w:val="0"/>
        <w:adjustRightInd w:val="0"/>
        <w:spacing w:line="360" w:lineRule="auto"/>
        <w:ind w:firstLine="480" w:firstLineChars="200"/>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（4）通用合同条款；</w:t>
      </w:r>
    </w:p>
    <w:p>
      <w:pPr>
        <w:autoSpaceDE w:val="0"/>
        <w:autoSpaceDN w:val="0"/>
        <w:adjustRightInd w:val="0"/>
        <w:spacing w:line="360" w:lineRule="auto"/>
        <w:ind w:firstLine="480" w:firstLineChars="200"/>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（5）技术标准和要求；</w:t>
      </w:r>
    </w:p>
    <w:p>
      <w:pPr>
        <w:autoSpaceDE w:val="0"/>
        <w:autoSpaceDN w:val="0"/>
        <w:adjustRightInd w:val="0"/>
        <w:spacing w:line="360" w:lineRule="auto"/>
        <w:ind w:firstLine="480" w:firstLineChars="200"/>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（6）图纸；</w:t>
      </w:r>
    </w:p>
    <w:p>
      <w:pPr>
        <w:autoSpaceDE w:val="0"/>
        <w:autoSpaceDN w:val="0"/>
        <w:adjustRightInd w:val="0"/>
        <w:spacing w:line="360" w:lineRule="auto"/>
        <w:ind w:firstLine="480" w:firstLineChars="200"/>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（7）已标价工程量清单或预算书；</w:t>
      </w:r>
    </w:p>
    <w:p>
      <w:pPr>
        <w:autoSpaceDE w:val="0"/>
        <w:autoSpaceDN w:val="0"/>
        <w:adjustRightInd w:val="0"/>
        <w:spacing w:line="360" w:lineRule="auto"/>
        <w:ind w:firstLine="480" w:firstLineChars="200"/>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（8）其他合同文件。</w:t>
      </w:r>
    </w:p>
    <w:p>
      <w:pPr>
        <w:autoSpaceDE w:val="0"/>
        <w:autoSpaceDN w:val="0"/>
        <w:adjustRightInd w:val="0"/>
        <w:spacing w:line="360" w:lineRule="auto"/>
        <w:ind w:firstLine="480" w:firstLineChars="200"/>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上述各项合同文件包括合同当事人就该项合同文件所作出的补充和修改，属于同一类内容的文件，应以最新签署的为准。</w:t>
      </w:r>
      <w:r>
        <w:rPr>
          <w:rFonts w:hint="eastAsia" w:ascii="Times New Roman" w:hAnsi="Times New Roman" w:eastAsia="仿宋_GB2312"/>
          <w:color w:val="auto"/>
          <w:sz w:val="24"/>
          <w:szCs w:val="24"/>
          <w:highlight w:val="none"/>
        </w:rPr>
        <w:t>专用合同条款及其附件须经合同当事人签字或盖章。</w:t>
      </w:r>
    </w:p>
    <w:p>
      <w:pPr>
        <w:pStyle w:val="11"/>
        <w:spacing w:before="120" w:after="120" w:line="360" w:lineRule="auto"/>
        <w:rPr>
          <w:rFonts w:ascii="Times New Roman" w:hAnsi="Times New Roman" w:eastAsia="黑体"/>
          <w:b w:val="0"/>
          <w:bCs w:val="0"/>
          <w:color w:val="auto"/>
          <w:sz w:val="24"/>
          <w:szCs w:val="24"/>
          <w:highlight w:val="none"/>
        </w:rPr>
      </w:pPr>
      <w:r>
        <w:rPr>
          <w:rFonts w:ascii="Times New Roman" w:hAnsi="Times New Roman" w:eastAsia="黑体"/>
          <w:b w:val="0"/>
          <w:bCs w:val="0"/>
          <w:color w:val="auto"/>
          <w:sz w:val="24"/>
          <w:szCs w:val="24"/>
          <w:highlight w:val="none"/>
        </w:rPr>
        <w:t xml:space="preserve">   </w:t>
      </w:r>
      <w:r>
        <w:rPr>
          <w:rFonts w:ascii="Times New Roman" w:hAnsi="Times New Roman" w:eastAsia="黑体"/>
          <w:b w:val="0"/>
          <w:color w:val="auto"/>
          <w:sz w:val="24"/>
          <w:szCs w:val="24"/>
          <w:highlight w:val="none"/>
        </w:rPr>
        <w:t xml:space="preserve"> </w:t>
      </w:r>
      <w:bookmarkStart w:id="352" w:name="_Toc351203487"/>
      <w:r>
        <w:rPr>
          <w:rFonts w:ascii="Times New Roman" w:hAnsi="Times New Roman" w:eastAsia="黑体"/>
          <w:b w:val="0"/>
          <w:color w:val="auto"/>
          <w:sz w:val="24"/>
          <w:szCs w:val="24"/>
          <w:highlight w:val="none"/>
        </w:rPr>
        <w:t>七、承诺</w:t>
      </w:r>
      <w:bookmarkEnd w:id="352"/>
    </w:p>
    <w:p>
      <w:pPr>
        <w:spacing w:line="360" w:lineRule="auto"/>
        <w:ind w:firstLine="480" w:firstLineChars="200"/>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1.发包人承诺按照法律规定履行项目审批手续、筹集工程建设资金并按照合同约定的期限和方式支付合同价款。</w:t>
      </w:r>
    </w:p>
    <w:p>
      <w:pPr>
        <w:spacing w:line="360" w:lineRule="auto"/>
        <w:ind w:firstLine="480" w:firstLineChars="200"/>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3.发包人和承包人通过招投标形式签订合同的，双方理解并</w:t>
      </w:r>
      <w:r>
        <w:rPr>
          <w:rFonts w:hint="eastAsia" w:ascii="Times New Roman" w:hAnsi="Times New Roman" w:eastAsia="仿宋_GB2312"/>
          <w:bCs/>
          <w:color w:val="auto"/>
          <w:sz w:val="24"/>
          <w:szCs w:val="24"/>
          <w:highlight w:val="none"/>
        </w:rPr>
        <w:t>承诺</w:t>
      </w:r>
      <w:r>
        <w:rPr>
          <w:rFonts w:ascii="Times New Roman" w:hAnsi="Times New Roman" w:eastAsia="仿宋_GB2312"/>
          <w:bCs/>
          <w:color w:val="auto"/>
          <w:sz w:val="24"/>
          <w:szCs w:val="24"/>
          <w:highlight w:val="none"/>
        </w:rPr>
        <w:t>不再就同一工程另行签订与合同实质性内容相背离的协议。</w:t>
      </w:r>
    </w:p>
    <w:p>
      <w:pPr>
        <w:spacing w:line="360" w:lineRule="auto"/>
        <w:rPr>
          <w:rFonts w:ascii="Times New Roman" w:hAnsi="Times New Roman" w:eastAsia="黑体"/>
          <w:bCs/>
          <w:color w:val="auto"/>
          <w:sz w:val="24"/>
          <w:szCs w:val="24"/>
          <w:highlight w:val="none"/>
        </w:rPr>
      </w:pPr>
      <w:bookmarkStart w:id="353" w:name="_Toc351203488"/>
      <w:r>
        <w:rPr>
          <w:rFonts w:hint="eastAsia" w:ascii="Times New Roman" w:hAnsi="Times New Roman" w:eastAsia="黑体"/>
          <w:b/>
          <w:color w:val="auto"/>
          <w:sz w:val="24"/>
          <w:szCs w:val="24"/>
          <w:highlight w:val="none"/>
        </w:rPr>
        <w:t xml:space="preserve">    </w:t>
      </w:r>
      <w:r>
        <w:rPr>
          <w:rFonts w:ascii="Times New Roman" w:hAnsi="Times New Roman" w:eastAsia="黑体"/>
          <w:b/>
          <w:color w:val="auto"/>
          <w:sz w:val="24"/>
          <w:szCs w:val="24"/>
          <w:highlight w:val="none"/>
        </w:rPr>
        <w:t>八、词语含义</w:t>
      </w:r>
      <w:bookmarkEnd w:id="353"/>
    </w:p>
    <w:p>
      <w:pPr>
        <w:spacing w:line="360" w:lineRule="auto"/>
        <w:ind w:firstLine="480" w:firstLineChars="200"/>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本协议书中词语含义与第二部分通用合同条款中赋予的含义相同。</w:t>
      </w:r>
    </w:p>
    <w:p>
      <w:pPr>
        <w:pStyle w:val="11"/>
        <w:spacing w:before="120" w:after="120" w:line="360" w:lineRule="auto"/>
        <w:rPr>
          <w:rFonts w:ascii="Times New Roman" w:hAnsi="Times New Roman" w:eastAsia="黑体"/>
          <w:bCs w:val="0"/>
          <w:color w:val="auto"/>
          <w:sz w:val="24"/>
          <w:szCs w:val="24"/>
          <w:highlight w:val="none"/>
        </w:rPr>
      </w:pPr>
      <w:r>
        <w:rPr>
          <w:rFonts w:ascii="Times New Roman" w:hAnsi="Times New Roman" w:eastAsia="黑体"/>
          <w:bCs w:val="0"/>
          <w:color w:val="auto"/>
          <w:sz w:val="24"/>
          <w:szCs w:val="24"/>
          <w:highlight w:val="none"/>
        </w:rPr>
        <w:t xml:space="preserve">  </w:t>
      </w:r>
      <w:r>
        <w:rPr>
          <w:rFonts w:ascii="Times New Roman" w:hAnsi="Times New Roman" w:eastAsia="黑体"/>
          <w:b w:val="0"/>
          <w:color w:val="auto"/>
          <w:sz w:val="24"/>
          <w:szCs w:val="24"/>
          <w:highlight w:val="none"/>
        </w:rPr>
        <w:t xml:space="preserve">  </w:t>
      </w:r>
      <w:bookmarkStart w:id="354" w:name="_Toc351203489"/>
      <w:r>
        <w:rPr>
          <w:rFonts w:ascii="Times New Roman" w:hAnsi="Times New Roman" w:eastAsia="黑体"/>
          <w:b w:val="0"/>
          <w:color w:val="auto"/>
          <w:sz w:val="24"/>
          <w:szCs w:val="24"/>
          <w:highlight w:val="none"/>
        </w:rPr>
        <w:t>九、签订时间</w:t>
      </w:r>
      <w:bookmarkEnd w:id="354"/>
    </w:p>
    <w:p>
      <w:pPr>
        <w:spacing w:line="360" w:lineRule="auto"/>
        <w:ind w:firstLine="480" w:firstLineChars="200"/>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本合同于</w:t>
      </w:r>
      <w:r>
        <w:rPr>
          <w:rFonts w:ascii="Times New Roman" w:hAnsi="Times New Roman" w:eastAsia="仿宋_GB2312"/>
          <w:bCs/>
          <w:color w:val="auto"/>
          <w:sz w:val="24"/>
          <w:szCs w:val="24"/>
          <w:highlight w:val="none"/>
          <w:u w:val="single"/>
        </w:rPr>
        <w:t xml:space="preserve">         </w:t>
      </w:r>
      <w:r>
        <w:rPr>
          <w:rFonts w:ascii="Times New Roman" w:hAnsi="Times New Roman" w:eastAsia="仿宋_GB2312"/>
          <w:bCs/>
          <w:color w:val="auto"/>
          <w:sz w:val="24"/>
          <w:szCs w:val="24"/>
          <w:highlight w:val="none"/>
        </w:rPr>
        <w:t>年</w:t>
      </w:r>
      <w:r>
        <w:rPr>
          <w:rFonts w:ascii="Times New Roman" w:hAnsi="Times New Roman" w:eastAsia="仿宋_GB2312"/>
          <w:bCs/>
          <w:color w:val="auto"/>
          <w:sz w:val="24"/>
          <w:szCs w:val="24"/>
          <w:highlight w:val="none"/>
          <w:u w:val="single"/>
        </w:rPr>
        <w:t xml:space="preserve">    </w:t>
      </w:r>
      <w:r>
        <w:rPr>
          <w:rFonts w:ascii="Times New Roman" w:hAnsi="Times New Roman" w:eastAsia="仿宋_GB2312"/>
          <w:bCs/>
          <w:color w:val="auto"/>
          <w:sz w:val="24"/>
          <w:szCs w:val="24"/>
          <w:highlight w:val="none"/>
        </w:rPr>
        <w:t>月</w:t>
      </w:r>
      <w:r>
        <w:rPr>
          <w:rFonts w:ascii="Times New Roman" w:hAnsi="Times New Roman" w:eastAsia="仿宋_GB2312"/>
          <w:bCs/>
          <w:color w:val="auto"/>
          <w:sz w:val="24"/>
          <w:szCs w:val="24"/>
          <w:highlight w:val="none"/>
          <w:u w:val="single"/>
        </w:rPr>
        <w:t xml:space="preserve">    </w:t>
      </w:r>
      <w:r>
        <w:rPr>
          <w:rFonts w:ascii="Times New Roman" w:hAnsi="Times New Roman" w:eastAsia="仿宋_GB2312"/>
          <w:bCs/>
          <w:color w:val="auto"/>
          <w:sz w:val="24"/>
          <w:szCs w:val="24"/>
          <w:highlight w:val="none"/>
        </w:rPr>
        <w:t>日签订。</w:t>
      </w:r>
    </w:p>
    <w:p>
      <w:pPr>
        <w:pStyle w:val="11"/>
        <w:spacing w:before="120" w:after="120" w:line="360" w:lineRule="auto"/>
        <w:rPr>
          <w:rFonts w:ascii="Times New Roman" w:hAnsi="Times New Roman" w:eastAsia="黑体"/>
          <w:bCs w:val="0"/>
          <w:color w:val="auto"/>
          <w:sz w:val="24"/>
          <w:szCs w:val="24"/>
          <w:highlight w:val="none"/>
        </w:rPr>
      </w:pPr>
      <w:r>
        <w:rPr>
          <w:rFonts w:ascii="Times New Roman" w:hAnsi="Times New Roman" w:eastAsia="黑体"/>
          <w:bCs w:val="0"/>
          <w:color w:val="auto"/>
          <w:sz w:val="24"/>
          <w:szCs w:val="24"/>
          <w:highlight w:val="none"/>
        </w:rPr>
        <w:t xml:space="preserve">    </w:t>
      </w:r>
      <w:bookmarkStart w:id="355" w:name="_Toc351203490"/>
      <w:r>
        <w:rPr>
          <w:rFonts w:ascii="Times New Roman" w:hAnsi="Times New Roman" w:eastAsia="黑体"/>
          <w:b w:val="0"/>
          <w:color w:val="auto"/>
          <w:sz w:val="24"/>
          <w:szCs w:val="24"/>
          <w:highlight w:val="none"/>
        </w:rPr>
        <w:t>十、签订地点</w:t>
      </w:r>
      <w:bookmarkEnd w:id="355"/>
    </w:p>
    <w:p>
      <w:pPr>
        <w:spacing w:line="360" w:lineRule="auto"/>
        <w:ind w:firstLine="480" w:firstLineChars="200"/>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本合同在</w:t>
      </w:r>
      <w:r>
        <w:rPr>
          <w:rFonts w:ascii="Times New Roman" w:hAnsi="Times New Roman" w:eastAsia="仿宋_GB2312"/>
          <w:bCs/>
          <w:color w:val="auto"/>
          <w:sz w:val="24"/>
          <w:szCs w:val="24"/>
          <w:highlight w:val="none"/>
          <w:u w:val="single"/>
        </w:rPr>
        <w:t xml:space="preserve">                                    </w:t>
      </w:r>
      <w:r>
        <w:rPr>
          <w:rFonts w:ascii="Times New Roman" w:hAnsi="Times New Roman" w:eastAsia="仿宋_GB2312"/>
          <w:bCs/>
          <w:color w:val="auto"/>
          <w:sz w:val="24"/>
          <w:szCs w:val="24"/>
          <w:highlight w:val="none"/>
        </w:rPr>
        <w:t>签订。</w:t>
      </w:r>
    </w:p>
    <w:p>
      <w:pPr>
        <w:pStyle w:val="11"/>
        <w:spacing w:before="120" w:after="120" w:line="360" w:lineRule="auto"/>
        <w:rPr>
          <w:rFonts w:ascii="Times New Roman" w:hAnsi="Times New Roman" w:eastAsia="黑体"/>
          <w:bCs w:val="0"/>
          <w:color w:val="auto"/>
          <w:sz w:val="24"/>
          <w:szCs w:val="24"/>
          <w:highlight w:val="none"/>
        </w:rPr>
      </w:pPr>
      <w:r>
        <w:rPr>
          <w:rFonts w:ascii="Times New Roman" w:hAnsi="Times New Roman" w:eastAsia="黑体"/>
          <w:bCs w:val="0"/>
          <w:color w:val="auto"/>
          <w:sz w:val="24"/>
          <w:szCs w:val="24"/>
          <w:highlight w:val="none"/>
        </w:rPr>
        <w:t xml:space="preserve">    </w:t>
      </w:r>
      <w:bookmarkStart w:id="356" w:name="_Toc351203491"/>
      <w:r>
        <w:rPr>
          <w:rFonts w:ascii="Times New Roman" w:hAnsi="Times New Roman" w:eastAsia="黑体"/>
          <w:b w:val="0"/>
          <w:color w:val="auto"/>
          <w:sz w:val="24"/>
          <w:szCs w:val="24"/>
          <w:highlight w:val="none"/>
        </w:rPr>
        <w:t>十一、补充协议</w:t>
      </w:r>
      <w:bookmarkEnd w:id="356"/>
    </w:p>
    <w:p>
      <w:pPr>
        <w:spacing w:line="360" w:lineRule="auto"/>
        <w:ind w:firstLine="480" w:firstLineChars="200"/>
        <w:rPr>
          <w:rFonts w:ascii="Times New Roman" w:hAnsi="Times New Roman" w:eastAsia="仿宋_GB2312"/>
          <w:b/>
          <w:bCs/>
          <w:color w:val="auto"/>
          <w:sz w:val="24"/>
          <w:szCs w:val="24"/>
          <w:highlight w:val="none"/>
        </w:rPr>
      </w:pPr>
      <w:r>
        <w:rPr>
          <w:rFonts w:ascii="Times New Roman" w:hAnsi="Times New Roman" w:eastAsia="仿宋_GB2312"/>
          <w:bCs/>
          <w:color w:val="auto"/>
          <w:sz w:val="24"/>
          <w:szCs w:val="24"/>
          <w:highlight w:val="none"/>
        </w:rPr>
        <w:t>合同未尽事宜，合同当事人另行签订补充协议</w:t>
      </w:r>
      <w:r>
        <w:rPr>
          <w:rFonts w:hint="eastAsia" w:ascii="Times New Roman" w:hAnsi="Times New Roman" w:eastAsia="仿宋_GB2312"/>
          <w:bCs/>
          <w:color w:val="auto"/>
          <w:sz w:val="24"/>
          <w:szCs w:val="24"/>
          <w:highlight w:val="none"/>
        </w:rPr>
        <w:t>，</w:t>
      </w:r>
      <w:r>
        <w:rPr>
          <w:rFonts w:ascii="Times New Roman" w:hAnsi="Times New Roman" w:eastAsia="仿宋_GB2312"/>
          <w:bCs/>
          <w:color w:val="auto"/>
          <w:sz w:val="24"/>
          <w:szCs w:val="24"/>
          <w:highlight w:val="none"/>
        </w:rPr>
        <w:t>补充协议是合同的组成部分。</w:t>
      </w:r>
    </w:p>
    <w:p>
      <w:pPr>
        <w:pStyle w:val="11"/>
        <w:spacing w:before="120" w:after="120" w:line="360" w:lineRule="auto"/>
        <w:rPr>
          <w:rFonts w:ascii="Times New Roman" w:hAnsi="Times New Roman" w:eastAsia="黑体"/>
          <w:bCs w:val="0"/>
          <w:color w:val="auto"/>
          <w:sz w:val="24"/>
          <w:szCs w:val="24"/>
          <w:highlight w:val="none"/>
        </w:rPr>
      </w:pPr>
      <w:r>
        <w:rPr>
          <w:rFonts w:ascii="Times New Roman" w:hAnsi="Times New Roman" w:eastAsia="黑体"/>
          <w:bCs w:val="0"/>
          <w:color w:val="auto"/>
          <w:sz w:val="24"/>
          <w:szCs w:val="24"/>
          <w:highlight w:val="none"/>
        </w:rPr>
        <w:t xml:space="preserve">    </w:t>
      </w:r>
      <w:bookmarkStart w:id="357" w:name="_Toc351203492"/>
      <w:r>
        <w:rPr>
          <w:rFonts w:ascii="Times New Roman" w:hAnsi="Times New Roman" w:eastAsia="黑体"/>
          <w:b w:val="0"/>
          <w:color w:val="auto"/>
          <w:sz w:val="24"/>
          <w:szCs w:val="24"/>
          <w:highlight w:val="none"/>
        </w:rPr>
        <w:t>十二、合同生效</w:t>
      </w:r>
      <w:bookmarkEnd w:id="357"/>
    </w:p>
    <w:p>
      <w:pPr>
        <w:spacing w:line="360" w:lineRule="auto"/>
        <w:ind w:firstLine="480" w:firstLineChars="200"/>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本合同自</w:t>
      </w:r>
      <w:r>
        <w:rPr>
          <w:rFonts w:ascii="Times New Roman" w:hAnsi="Times New Roman" w:eastAsia="仿宋_GB2312"/>
          <w:bCs/>
          <w:color w:val="auto"/>
          <w:sz w:val="24"/>
          <w:szCs w:val="24"/>
          <w:highlight w:val="none"/>
          <w:u w:val="single"/>
        </w:rPr>
        <w:t xml:space="preserve">                                   </w:t>
      </w:r>
      <w:r>
        <w:rPr>
          <w:rFonts w:ascii="Times New Roman" w:hAnsi="Times New Roman" w:eastAsia="仿宋_GB2312"/>
          <w:bCs/>
          <w:color w:val="auto"/>
          <w:sz w:val="24"/>
          <w:szCs w:val="24"/>
          <w:highlight w:val="none"/>
        </w:rPr>
        <w:t>生效。</w:t>
      </w:r>
    </w:p>
    <w:p>
      <w:pPr>
        <w:pStyle w:val="11"/>
        <w:spacing w:before="120" w:after="120" w:line="360" w:lineRule="auto"/>
        <w:rPr>
          <w:rFonts w:ascii="Times New Roman" w:hAnsi="Times New Roman" w:eastAsia="黑体"/>
          <w:bCs w:val="0"/>
          <w:color w:val="auto"/>
          <w:sz w:val="24"/>
          <w:szCs w:val="24"/>
          <w:highlight w:val="none"/>
        </w:rPr>
      </w:pPr>
      <w:r>
        <w:rPr>
          <w:rFonts w:ascii="Times New Roman" w:hAnsi="Times New Roman" w:eastAsia="黑体"/>
          <w:bCs w:val="0"/>
          <w:color w:val="auto"/>
          <w:sz w:val="24"/>
          <w:szCs w:val="24"/>
          <w:highlight w:val="none"/>
        </w:rPr>
        <w:t xml:space="preserve">    </w:t>
      </w:r>
      <w:bookmarkStart w:id="358" w:name="_Toc351203493"/>
      <w:r>
        <w:rPr>
          <w:rFonts w:ascii="Times New Roman" w:hAnsi="Times New Roman" w:eastAsia="黑体"/>
          <w:b w:val="0"/>
          <w:color w:val="auto"/>
          <w:sz w:val="24"/>
          <w:szCs w:val="24"/>
          <w:highlight w:val="none"/>
        </w:rPr>
        <w:t>十三、合同份数</w:t>
      </w:r>
      <w:bookmarkEnd w:id="358"/>
    </w:p>
    <w:p>
      <w:pPr>
        <w:spacing w:line="360" w:lineRule="auto"/>
        <w:ind w:firstLine="480" w:firstLineChars="200"/>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本合同一式</w:t>
      </w:r>
      <w:r>
        <w:rPr>
          <w:rFonts w:ascii="Times New Roman" w:hAnsi="Times New Roman" w:eastAsia="仿宋_GB2312"/>
          <w:bCs/>
          <w:color w:val="auto"/>
          <w:sz w:val="24"/>
          <w:szCs w:val="24"/>
          <w:highlight w:val="none"/>
          <w:u w:val="single"/>
        </w:rPr>
        <w:t xml:space="preserve">  </w:t>
      </w:r>
      <w:r>
        <w:rPr>
          <w:rFonts w:hint="eastAsia" w:ascii="Times New Roman" w:hAnsi="Times New Roman" w:eastAsia="仿宋_GB2312"/>
          <w:bCs/>
          <w:color w:val="auto"/>
          <w:sz w:val="24"/>
          <w:szCs w:val="24"/>
          <w:highlight w:val="none"/>
          <w:u w:val="single"/>
        </w:rPr>
        <w:t xml:space="preserve"> </w:t>
      </w:r>
      <w:r>
        <w:rPr>
          <w:rFonts w:ascii="Times New Roman" w:hAnsi="Times New Roman" w:eastAsia="仿宋_GB2312"/>
          <w:bCs/>
          <w:color w:val="auto"/>
          <w:sz w:val="24"/>
          <w:szCs w:val="24"/>
          <w:highlight w:val="none"/>
          <w:u w:val="single"/>
        </w:rPr>
        <w:t xml:space="preserve"> </w:t>
      </w:r>
      <w:r>
        <w:rPr>
          <w:rFonts w:ascii="Times New Roman" w:hAnsi="Times New Roman" w:eastAsia="仿宋_GB2312"/>
          <w:bCs/>
          <w:color w:val="auto"/>
          <w:sz w:val="24"/>
          <w:szCs w:val="24"/>
          <w:highlight w:val="none"/>
        </w:rPr>
        <w:t>份，均具有同等法律效力，发包人执</w:t>
      </w:r>
      <w:r>
        <w:rPr>
          <w:rFonts w:ascii="Times New Roman" w:hAnsi="Times New Roman" w:eastAsia="仿宋_GB2312"/>
          <w:bCs/>
          <w:color w:val="auto"/>
          <w:sz w:val="24"/>
          <w:szCs w:val="24"/>
          <w:highlight w:val="none"/>
          <w:u w:val="single"/>
        </w:rPr>
        <w:t xml:space="preserve">  </w:t>
      </w:r>
      <w:r>
        <w:rPr>
          <w:rFonts w:hint="eastAsia" w:ascii="Times New Roman" w:hAnsi="Times New Roman" w:eastAsia="仿宋_GB2312"/>
          <w:bCs/>
          <w:color w:val="auto"/>
          <w:sz w:val="24"/>
          <w:szCs w:val="24"/>
          <w:highlight w:val="none"/>
          <w:u w:val="single"/>
        </w:rPr>
        <w:t xml:space="preserve"> </w:t>
      </w:r>
      <w:r>
        <w:rPr>
          <w:rFonts w:ascii="Times New Roman" w:hAnsi="Times New Roman" w:eastAsia="仿宋_GB2312"/>
          <w:bCs/>
          <w:color w:val="auto"/>
          <w:sz w:val="24"/>
          <w:szCs w:val="24"/>
          <w:highlight w:val="none"/>
          <w:u w:val="single"/>
        </w:rPr>
        <w:t xml:space="preserve"> </w:t>
      </w:r>
      <w:r>
        <w:rPr>
          <w:rFonts w:ascii="Times New Roman" w:hAnsi="Times New Roman" w:eastAsia="仿宋_GB2312"/>
          <w:bCs/>
          <w:color w:val="auto"/>
          <w:sz w:val="24"/>
          <w:szCs w:val="24"/>
          <w:highlight w:val="none"/>
        </w:rPr>
        <w:t>份，承包人执</w:t>
      </w:r>
      <w:r>
        <w:rPr>
          <w:rFonts w:ascii="Times New Roman" w:hAnsi="Times New Roman" w:eastAsia="仿宋_GB2312"/>
          <w:bCs/>
          <w:color w:val="auto"/>
          <w:sz w:val="24"/>
          <w:szCs w:val="24"/>
          <w:highlight w:val="none"/>
          <w:u w:val="single"/>
        </w:rPr>
        <w:t xml:space="preserve">  </w:t>
      </w:r>
      <w:r>
        <w:rPr>
          <w:rFonts w:hint="eastAsia" w:ascii="Times New Roman" w:hAnsi="Times New Roman" w:eastAsia="仿宋_GB2312"/>
          <w:bCs/>
          <w:color w:val="auto"/>
          <w:sz w:val="24"/>
          <w:szCs w:val="24"/>
          <w:highlight w:val="none"/>
          <w:u w:val="single"/>
        </w:rPr>
        <w:t xml:space="preserve"> </w:t>
      </w:r>
      <w:r>
        <w:rPr>
          <w:rFonts w:ascii="Times New Roman" w:hAnsi="Times New Roman" w:eastAsia="仿宋_GB2312"/>
          <w:bCs/>
          <w:color w:val="auto"/>
          <w:sz w:val="24"/>
          <w:szCs w:val="24"/>
          <w:highlight w:val="none"/>
          <w:u w:val="single"/>
        </w:rPr>
        <w:t xml:space="preserve"> </w:t>
      </w:r>
      <w:r>
        <w:rPr>
          <w:rFonts w:ascii="Times New Roman" w:hAnsi="Times New Roman" w:eastAsia="仿宋_GB2312"/>
          <w:bCs/>
          <w:color w:val="auto"/>
          <w:sz w:val="24"/>
          <w:szCs w:val="24"/>
          <w:highlight w:val="none"/>
        </w:rPr>
        <w:t>份。</w:t>
      </w:r>
    </w:p>
    <w:p>
      <w:pPr>
        <w:spacing w:line="360" w:lineRule="auto"/>
        <w:rPr>
          <w:rFonts w:hint="eastAsia" w:ascii="Times New Roman" w:hAnsi="Times New Roman" w:eastAsia="仿宋_GB2312"/>
          <w:bCs/>
          <w:color w:val="auto"/>
          <w:sz w:val="24"/>
          <w:szCs w:val="24"/>
          <w:highlight w:val="none"/>
        </w:rPr>
      </w:pPr>
    </w:p>
    <w:p>
      <w:pPr>
        <w:spacing w:line="360" w:lineRule="auto"/>
        <w:rPr>
          <w:rFonts w:hint="eastAsia" w:ascii="Times New Roman" w:hAnsi="Times New Roman" w:eastAsia="仿宋_GB2312"/>
          <w:bCs/>
          <w:color w:val="auto"/>
          <w:sz w:val="24"/>
          <w:szCs w:val="24"/>
          <w:highlight w:val="none"/>
        </w:rPr>
      </w:pPr>
    </w:p>
    <w:p>
      <w:pPr>
        <w:spacing w:line="360" w:lineRule="auto"/>
        <w:rPr>
          <w:rFonts w:hint="eastAsia" w:ascii="Times New Roman" w:hAnsi="Times New Roman" w:eastAsia="仿宋_GB2312"/>
          <w:bCs/>
          <w:color w:val="auto"/>
          <w:sz w:val="24"/>
          <w:szCs w:val="24"/>
          <w:highlight w:val="none"/>
        </w:rPr>
      </w:pPr>
    </w:p>
    <w:p>
      <w:pPr>
        <w:spacing w:line="360" w:lineRule="auto"/>
        <w:rPr>
          <w:rFonts w:hint="eastAsia" w:ascii="Times New Roman" w:hAnsi="Times New Roman" w:eastAsia="仿宋_GB2312"/>
          <w:bCs/>
          <w:color w:val="auto"/>
          <w:sz w:val="24"/>
          <w:szCs w:val="24"/>
          <w:highlight w:val="none"/>
        </w:rPr>
      </w:pPr>
    </w:p>
    <w:p>
      <w:pPr>
        <w:spacing w:line="360" w:lineRule="auto"/>
        <w:rPr>
          <w:rFonts w:hint="eastAsia" w:ascii="Times New Roman" w:hAnsi="Times New Roman" w:eastAsia="仿宋_GB2312"/>
          <w:bCs/>
          <w:color w:val="auto"/>
          <w:sz w:val="24"/>
          <w:szCs w:val="24"/>
          <w:highlight w:val="none"/>
        </w:rPr>
      </w:pPr>
    </w:p>
    <w:p>
      <w:pPr>
        <w:spacing w:line="360" w:lineRule="auto"/>
        <w:rPr>
          <w:rFonts w:hint="eastAsia" w:ascii="Times New Roman" w:hAnsi="Times New Roman" w:eastAsia="仿宋_GB2312"/>
          <w:bCs/>
          <w:color w:val="auto"/>
          <w:sz w:val="24"/>
          <w:szCs w:val="24"/>
          <w:highlight w:val="none"/>
        </w:rPr>
      </w:pPr>
    </w:p>
    <w:p>
      <w:pPr>
        <w:spacing w:line="360" w:lineRule="auto"/>
        <w:rPr>
          <w:rFonts w:hint="eastAsia" w:ascii="Times New Roman" w:hAnsi="Times New Roman" w:eastAsia="仿宋_GB2312"/>
          <w:bCs/>
          <w:color w:val="auto"/>
          <w:sz w:val="24"/>
          <w:szCs w:val="24"/>
          <w:highlight w:val="none"/>
        </w:rPr>
      </w:pPr>
    </w:p>
    <w:p>
      <w:pPr>
        <w:spacing w:line="360" w:lineRule="auto"/>
        <w:rPr>
          <w:rFonts w:hint="eastAsia" w:ascii="Times New Roman" w:hAnsi="Times New Roman" w:eastAsia="仿宋_GB2312"/>
          <w:color w:val="auto"/>
          <w:sz w:val="24"/>
          <w:szCs w:val="24"/>
          <w:highlight w:val="none"/>
        </w:rPr>
      </w:pPr>
    </w:p>
    <w:p>
      <w:pPr>
        <w:spacing w:line="360" w:lineRule="auto"/>
        <w:rPr>
          <w:rFonts w:hint="eastAsia"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发包人</w:t>
      </w:r>
      <w:r>
        <w:rPr>
          <w:rFonts w:hint="eastAsia"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rPr>
        <w:t>(公章)</w:t>
      </w:r>
      <w:r>
        <w:rPr>
          <w:rFonts w:hint="eastAsia"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rPr>
        <w:t>承包人</w:t>
      </w:r>
      <w:r>
        <w:rPr>
          <w:rFonts w:hint="eastAsia"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rPr>
        <w:t>(公章)</w:t>
      </w:r>
    </w:p>
    <w:p>
      <w:pPr>
        <w:spacing w:line="360" w:lineRule="auto"/>
        <w:rPr>
          <w:rFonts w:hint="eastAsia" w:ascii="Times New Roman" w:hAnsi="Times New Roman" w:eastAsia="仿宋_GB2312"/>
          <w:color w:val="auto"/>
          <w:sz w:val="24"/>
          <w:szCs w:val="24"/>
          <w:highlight w:val="none"/>
          <w:u w:val="single"/>
        </w:rPr>
      </w:pPr>
      <w:r>
        <w:rPr>
          <w:rFonts w:hint="eastAsia" w:ascii="Times New Roman" w:hAnsi="Times New Roman" w:eastAsia="仿宋_GB2312"/>
          <w:color w:val="auto"/>
          <w:sz w:val="24"/>
          <w:szCs w:val="24"/>
          <w:highlight w:val="none"/>
        </w:rPr>
        <w:t xml:space="preserve">                                 </w:t>
      </w:r>
    </w:p>
    <w:p>
      <w:pPr>
        <w:spacing w:line="360" w:lineRule="auto"/>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法定代表人或其委托代理人：  法定代表人或其委托代理人：</w:t>
      </w:r>
    </w:p>
    <w:p>
      <w:pPr>
        <w:spacing w:line="360" w:lineRule="auto"/>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（签字）                    （签字）</w:t>
      </w:r>
    </w:p>
    <w:p>
      <w:pPr>
        <w:spacing w:line="360" w:lineRule="auto"/>
        <w:rPr>
          <w:rFonts w:hint="eastAsia" w:ascii="Times New Roman" w:hAnsi="Times New Roman" w:eastAsia="仿宋_GB2312"/>
          <w:color w:val="auto"/>
          <w:sz w:val="24"/>
          <w:szCs w:val="24"/>
          <w:highlight w:val="none"/>
          <w:u w:val="single"/>
        </w:rPr>
      </w:pPr>
    </w:p>
    <w:p>
      <w:pPr>
        <w:tabs>
          <w:tab w:val="left" w:pos="4410"/>
        </w:tabs>
        <w:spacing w:line="360" w:lineRule="auto"/>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组织机构代码：</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 xml:space="preserve"> </w:t>
      </w:r>
      <w:r>
        <w:rPr>
          <w:rFonts w:hint="eastAsia" w:ascii="Times New Roman" w:hAnsi="Times New Roman" w:eastAsia="仿宋_GB2312"/>
          <w:color w:val="auto"/>
          <w:sz w:val="24"/>
          <w:szCs w:val="24"/>
          <w:highlight w:val="none"/>
        </w:rPr>
        <w:t xml:space="preserve"> 组织机构代码：</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 xml:space="preserve"> </w:t>
      </w:r>
    </w:p>
    <w:p>
      <w:pPr>
        <w:spacing w:line="36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地  址：</w:t>
      </w:r>
      <w:r>
        <w:rPr>
          <w:rFonts w:ascii="Times New Roman" w:hAnsi="Times New Roman" w:eastAsia="仿宋_GB2312"/>
          <w:color w:val="auto"/>
          <w:sz w:val="24"/>
          <w:szCs w:val="24"/>
          <w:highlight w:val="none"/>
          <w:u w:val="single"/>
        </w:rPr>
        <w:t xml:space="preserve">     </w:t>
      </w:r>
      <w:r>
        <w:rPr>
          <w:rFonts w:hint="eastAsia"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rPr>
        <w:t>地  址：</w:t>
      </w:r>
      <w:r>
        <w:rPr>
          <w:rFonts w:ascii="Times New Roman" w:hAnsi="Times New Roman" w:eastAsia="仿宋_GB2312"/>
          <w:color w:val="auto"/>
          <w:sz w:val="24"/>
          <w:szCs w:val="24"/>
          <w:highlight w:val="none"/>
          <w:u w:val="single"/>
        </w:rPr>
        <w:t></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p>
    <w:p>
      <w:pPr>
        <w:spacing w:line="36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邮政编码：</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 xml:space="preserve"> </w:t>
      </w:r>
      <w:r>
        <w:rPr>
          <w:rFonts w:hint="eastAsia"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rPr>
        <w:t>邮政编码：</w:t>
      </w:r>
      <w:r>
        <w:rPr>
          <w:rFonts w:ascii="Times New Roman" w:hAnsi="Times New Roman" w:eastAsia="仿宋_GB2312"/>
          <w:color w:val="auto"/>
          <w:sz w:val="24"/>
          <w:szCs w:val="24"/>
          <w:highlight w:val="none"/>
          <w:u w:val="single"/>
        </w:rPr>
        <w:t xml:space="preserve">   </w:t>
      </w:r>
    </w:p>
    <w:p>
      <w:pPr>
        <w:spacing w:line="36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法定代表人：</w:t>
      </w:r>
      <w:r>
        <w:rPr>
          <w:rFonts w:ascii="Times New Roman" w:hAnsi="Times New Roman" w:eastAsia="仿宋_GB2312"/>
          <w:color w:val="auto"/>
          <w:sz w:val="24"/>
          <w:szCs w:val="24"/>
          <w:highlight w:val="none"/>
          <w:u w:val="single"/>
        </w:rPr>
        <w:t></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 xml:space="preserve"> </w:t>
      </w:r>
      <w:r>
        <w:rPr>
          <w:rFonts w:hint="eastAsia"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rPr>
        <w:t>法定代表人：</w:t>
      </w:r>
      <w:r>
        <w:rPr>
          <w:rFonts w:ascii="Times New Roman" w:hAnsi="Times New Roman" w:eastAsia="仿宋_GB2312"/>
          <w:color w:val="auto"/>
          <w:sz w:val="24"/>
          <w:szCs w:val="24"/>
          <w:highlight w:val="none"/>
          <w:u w:val="single"/>
        </w:rPr>
        <w:t></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p>
    <w:p>
      <w:pPr>
        <w:spacing w:line="36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委托代理人：</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 xml:space="preserve"> </w:t>
      </w:r>
      <w:r>
        <w:rPr>
          <w:rFonts w:hint="eastAsia"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rPr>
        <w:t>委托代理人：</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p>
    <w:p>
      <w:pPr>
        <w:spacing w:line="36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电  话：</w:t>
      </w:r>
      <w:r>
        <w:rPr>
          <w:rFonts w:ascii="Times New Roman" w:hAnsi="Times New Roman" w:eastAsia="仿宋_GB2312"/>
          <w:color w:val="auto"/>
          <w:sz w:val="24"/>
          <w:szCs w:val="24"/>
          <w:highlight w:val="none"/>
          <w:u w:val="single"/>
        </w:rPr>
        <w:t></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 xml:space="preserve"> </w:t>
      </w:r>
      <w:r>
        <w:rPr>
          <w:rFonts w:hint="eastAsia"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rPr>
        <w:t>电  话：</w:t>
      </w:r>
      <w:r>
        <w:rPr>
          <w:rFonts w:ascii="Times New Roman" w:hAnsi="Times New Roman" w:eastAsia="仿宋_GB2312"/>
          <w:color w:val="auto"/>
          <w:sz w:val="24"/>
          <w:szCs w:val="24"/>
          <w:highlight w:val="none"/>
          <w:u w:val="single"/>
        </w:rPr>
        <w:t></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p>
    <w:p>
      <w:pPr>
        <w:spacing w:line="36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传  真：</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 xml:space="preserve"> </w:t>
      </w:r>
      <w:r>
        <w:rPr>
          <w:rFonts w:hint="eastAsia"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rPr>
        <w:t>传  真：</w:t>
      </w:r>
      <w:r>
        <w:rPr>
          <w:rFonts w:ascii="Times New Roman" w:hAnsi="Times New Roman" w:eastAsia="仿宋_GB2312"/>
          <w:color w:val="auto"/>
          <w:sz w:val="24"/>
          <w:szCs w:val="24"/>
          <w:highlight w:val="none"/>
          <w:u w:val="single"/>
        </w:rPr>
        <w:t></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p>
    <w:p>
      <w:pPr>
        <w:spacing w:line="36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电子信箱：</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 xml:space="preserve"> </w:t>
      </w:r>
      <w:r>
        <w:rPr>
          <w:rFonts w:hint="eastAsia"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rPr>
        <w:t>电子信箱：</w:t>
      </w:r>
      <w:r>
        <w:rPr>
          <w:rFonts w:ascii="Times New Roman" w:hAnsi="Times New Roman" w:eastAsia="仿宋_GB2312"/>
          <w:color w:val="auto"/>
          <w:sz w:val="24"/>
          <w:szCs w:val="24"/>
          <w:highlight w:val="none"/>
          <w:u w:val="single"/>
        </w:rPr>
        <w:t xml:space="preserve">   </w:t>
      </w:r>
    </w:p>
    <w:p>
      <w:pPr>
        <w:spacing w:line="36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开户银行：</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 xml:space="preserve"> </w:t>
      </w:r>
      <w:r>
        <w:rPr>
          <w:rFonts w:hint="eastAsia"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rPr>
        <w:t>开户银行：</w:t>
      </w:r>
      <w:r>
        <w:rPr>
          <w:rFonts w:ascii="Times New Roman" w:hAnsi="Times New Roman" w:eastAsia="仿宋_GB2312"/>
          <w:color w:val="auto"/>
          <w:sz w:val="24"/>
          <w:szCs w:val="24"/>
          <w:highlight w:val="none"/>
          <w:u w:val="single"/>
        </w:rPr>
        <w:t xml:space="preserve">   </w:t>
      </w:r>
    </w:p>
    <w:p>
      <w:pPr>
        <w:spacing w:line="36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账  号：</w:t>
      </w:r>
      <w:r>
        <w:rPr>
          <w:rFonts w:ascii="Times New Roman" w:hAnsi="Times New Roman" w:eastAsia="仿宋_GB2312"/>
          <w:color w:val="auto"/>
          <w:sz w:val="24"/>
          <w:szCs w:val="24"/>
          <w:highlight w:val="none"/>
          <w:u w:val="single"/>
        </w:rPr>
        <w:t xml:space="preserve">       </w:t>
      </w:r>
      <w:r>
        <w:rPr>
          <w:rFonts w:hint="eastAsia"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rPr>
        <w:t>账</w:t>
      </w:r>
      <w:r>
        <w:rPr>
          <w:rFonts w:hint="eastAsia"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rPr>
        <w:t xml:space="preserve"> 号：</w:t>
      </w:r>
      <w:r>
        <w:rPr>
          <w:rFonts w:ascii="Times New Roman" w:hAnsi="Times New Roman" w:eastAsia="仿宋_GB2312"/>
          <w:color w:val="auto"/>
          <w:sz w:val="24"/>
          <w:szCs w:val="24"/>
          <w:highlight w:val="none"/>
          <w:u w:val="single"/>
        </w:rPr>
        <w:t></w:t>
      </w:r>
      <w:r>
        <w:rPr>
          <w:rFonts w:hint="eastAsia"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u w:val="single"/>
        </w:rPr>
        <w:t xml:space="preserve">  </w:t>
      </w:r>
      <w:r>
        <w:rPr>
          <w:rFonts w:hint="eastAsia" w:ascii="Times New Roman" w:hAnsi="Times New Roman" w:eastAsia="仿宋_GB2312"/>
          <w:color w:val="auto"/>
          <w:sz w:val="24"/>
          <w:szCs w:val="24"/>
          <w:highlight w:val="none"/>
          <w:u w:val="single"/>
        </w:rPr>
        <w:t xml:space="preserve"> </w:t>
      </w:r>
    </w:p>
    <w:p>
      <w:pPr>
        <w:pStyle w:val="10"/>
        <w:jc w:val="center"/>
        <w:rPr>
          <w:rFonts w:hint="eastAsia" w:ascii="华文中宋" w:hAnsi="华文中宋" w:eastAsia="华文中宋"/>
          <w:color w:val="auto"/>
          <w:sz w:val="44"/>
          <w:szCs w:val="44"/>
          <w:highlight w:val="none"/>
        </w:rPr>
      </w:pPr>
      <w:r>
        <w:rPr>
          <w:rFonts w:eastAsia="仿宋_GB2312"/>
          <w:color w:val="auto"/>
          <w:sz w:val="22"/>
          <w:szCs w:val="22"/>
          <w:highlight w:val="none"/>
        </w:rPr>
        <w:br w:type="page"/>
      </w:r>
      <w:bookmarkStart w:id="359" w:name="_Toc351203494"/>
      <w:r>
        <w:rPr>
          <w:rFonts w:ascii="华文中宋" w:hAnsi="华文中宋" w:eastAsia="华文中宋"/>
          <w:color w:val="auto"/>
          <w:sz w:val="44"/>
          <w:szCs w:val="44"/>
          <w:highlight w:val="none"/>
        </w:rPr>
        <w:t>第二部分 通用合同条款</w:t>
      </w:r>
      <w:bookmarkEnd w:id="359"/>
      <w:bookmarkStart w:id="360" w:name="_Toc337558727"/>
    </w:p>
    <w:bookmarkEnd w:id="360"/>
    <w:p>
      <w:pPr>
        <w:pStyle w:val="10"/>
        <w:jc w:val="center"/>
        <w:rPr>
          <w:rFonts w:hint="eastAsia" w:ascii="华文中宋" w:hAnsi="华文中宋" w:eastAsia="华文中宋"/>
          <w:b w:val="0"/>
          <w:bCs w:val="0"/>
          <w:color w:val="auto"/>
          <w:sz w:val="36"/>
          <w:szCs w:val="36"/>
          <w:highlight w:val="none"/>
          <w:lang w:eastAsia="zh-CN"/>
        </w:rPr>
      </w:pPr>
      <w:bookmarkStart w:id="361" w:name="_Toc351203632"/>
      <w:r>
        <w:rPr>
          <w:rFonts w:hint="eastAsia" w:ascii="华文中宋" w:hAnsi="华文中宋" w:eastAsia="华文中宋"/>
          <w:b w:val="0"/>
          <w:bCs w:val="0"/>
          <w:color w:val="auto"/>
          <w:sz w:val="36"/>
          <w:szCs w:val="36"/>
          <w:highlight w:val="none"/>
          <w:lang w:eastAsia="zh-CN"/>
        </w:rPr>
        <w:t>（略）</w:t>
      </w:r>
    </w:p>
    <w:p>
      <w:pPr>
        <w:pStyle w:val="10"/>
        <w:jc w:val="center"/>
        <w:rPr>
          <w:rFonts w:ascii="华文中宋" w:hAnsi="华文中宋" w:eastAsia="华文中宋"/>
          <w:color w:val="auto"/>
          <w:sz w:val="21"/>
          <w:szCs w:val="21"/>
          <w:highlight w:val="none"/>
        </w:rPr>
      </w:pPr>
      <w:r>
        <w:rPr>
          <w:rFonts w:ascii="华文中宋" w:hAnsi="华文中宋" w:eastAsia="华文中宋"/>
          <w:color w:val="auto"/>
          <w:sz w:val="44"/>
          <w:szCs w:val="44"/>
          <w:highlight w:val="none"/>
        </w:rPr>
        <w:br w:type="page"/>
      </w:r>
      <w:r>
        <w:rPr>
          <w:rFonts w:ascii="华文中宋" w:hAnsi="华文中宋" w:eastAsia="华文中宋"/>
          <w:color w:val="auto"/>
          <w:sz w:val="21"/>
          <w:szCs w:val="21"/>
          <w:highlight w:val="none"/>
        </w:rPr>
        <w:t xml:space="preserve">第三部分 </w:t>
      </w:r>
      <w:r>
        <w:rPr>
          <w:rFonts w:hint="eastAsia" w:ascii="华文中宋" w:hAnsi="华文中宋" w:eastAsia="华文中宋"/>
          <w:color w:val="auto"/>
          <w:sz w:val="21"/>
          <w:szCs w:val="21"/>
          <w:highlight w:val="none"/>
        </w:rPr>
        <w:t>专用合同条款</w:t>
      </w:r>
      <w:bookmarkEnd w:id="361"/>
    </w:p>
    <w:p>
      <w:pPr>
        <w:pStyle w:val="11"/>
        <w:spacing w:before="120" w:after="120" w:line="360" w:lineRule="auto"/>
        <w:rPr>
          <w:rFonts w:ascii="Times New Roman" w:hAnsi="Times New Roman" w:eastAsia="黑体"/>
          <w:b w:val="0"/>
          <w:color w:val="auto"/>
          <w:sz w:val="21"/>
          <w:szCs w:val="21"/>
          <w:highlight w:val="none"/>
        </w:rPr>
      </w:pPr>
      <w:bookmarkStart w:id="362" w:name="_Toc351203633"/>
      <w:r>
        <w:rPr>
          <w:rFonts w:ascii="Times New Roman" w:hAnsi="Times New Roman" w:eastAsia="黑体"/>
          <w:b w:val="0"/>
          <w:color w:val="auto"/>
          <w:sz w:val="21"/>
          <w:szCs w:val="21"/>
          <w:highlight w:val="none"/>
        </w:rPr>
        <w:t>1</w:t>
      </w:r>
      <w:bookmarkStart w:id="363" w:name="_Toc296890984"/>
      <w:bookmarkStart w:id="364" w:name="_Toc297120456"/>
      <w:bookmarkStart w:id="365" w:name="_Toc296891196"/>
      <w:bookmarkStart w:id="366" w:name="_Toc297048342"/>
      <w:bookmarkStart w:id="367" w:name="_Toc296347155"/>
      <w:bookmarkStart w:id="368" w:name="_Toc292559866"/>
      <w:bookmarkStart w:id="369" w:name="_Toc292559361"/>
      <w:bookmarkStart w:id="370" w:name="_Toc296944495"/>
      <w:bookmarkStart w:id="371" w:name="_Toc296346657"/>
      <w:bookmarkStart w:id="372" w:name="_Toc296503156"/>
      <w:r>
        <w:rPr>
          <w:rFonts w:ascii="Times New Roman" w:hAnsi="Times New Roman" w:eastAsia="黑体"/>
          <w:b w:val="0"/>
          <w:color w:val="auto"/>
          <w:sz w:val="21"/>
          <w:szCs w:val="21"/>
          <w:highlight w:val="none"/>
        </w:rPr>
        <w:t>. 一般约定</w:t>
      </w:r>
      <w:bookmarkEnd w:id="362"/>
    </w:p>
    <w:bookmarkEnd w:id="363"/>
    <w:bookmarkEnd w:id="364"/>
    <w:bookmarkEnd w:id="365"/>
    <w:bookmarkEnd w:id="366"/>
    <w:bookmarkEnd w:id="367"/>
    <w:bookmarkEnd w:id="368"/>
    <w:bookmarkEnd w:id="369"/>
    <w:bookmarkEnd w:id="370"/>
    <w:bookmarkEnd w:id="371"/>
    <w:bookmarkEnd w:id="372"/>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1.1 词语定义</w:t>
      </w:r>
    </w:p>
    <w:p>
      <w:pPr>
        <w:spacing w:line="360" w:lineRule="auto"/>
        <w:ind w:firstLine="420" w:firstLineChars="200"/>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1.1.1合同</w:t>
      </w:r>
    </w:p>
    <w:p>
      <w:pPr>
        <w:spacing w:line="360" w:lineRule="auto"/>
        <w:ind w:firstLine="420" w:firstLineChars="200"/>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1.1.1.10其他合同文件包括：</w:t>
      </w:r>
      <w:r>
        <w:rPr>
          <w:rFonts w:ascii="Times New Roman" w:hAnsi="Times New Roman" w:eastAsia="仿宋_GB2312"/>
          <w:color w:val="auto"/>
          <w:sz w:val="21"/>
          <w:szCs w:val="21"/>
          <w:highlight w:val="none"/>
          <w:u w:val="single"/>
        </w:rPr>
        <w:t xml:space="preserve">     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1.1.2 合同当事人及其他相关方</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1.1.2.4监理人：</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名    称：</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资质类别和等级：</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联系电话：</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电子信箱：</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通信地址：</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1.1.2.5 设计人：</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名    称：</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资质类别和等级：</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联系电话：</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电子信箱：</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rPr>
          <w:rFonts w:hint="eastAsia"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通信地址：</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1.1.3 工程和设备</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1.1.3.7 作为施工现场组成部分的其他场所包括：</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1.1.3.9 永久占地包括：</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 </w:t>
      </w:r>
      <w:r>
        <w:rPr>
          <w:rFonts w:ascii="Times New Roman" w:hAnsi="Times New Roman" w:eastAsia="仿宋_GB2312"/>
          <w:color w:val="auto"/>
          <w:kern w:val="0"/>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kern w:val="0"/>
          <w:sz w:val="21"/>
          <w:szCs w:val="21"/>
          <w:highlight w:val="none"/>
        </w:rPr>
        <w:t>1.1.3.10 临时占地包括：</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 </w:t>
      </w:r>
      <w:r>
        <w:rPr>
          <w:rFonts w:ascii="Times New Roman" w:hAnsi="Times New Roman" w:eastAsia="仿宋_GB2312"/>
          <w:color w:val="auto"/>
          <w:kern w:val="0"/>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 xml:space="preserve">1.3法律 </w:t>
      </w:r>
    </w:p>
    <w:p>
      <w:pPr>
        <w:autoSpaceDE w:val="0"/>
        <w:autoSpaceDN w:val="0"/>
        <w:adjustRightInd w:val="0"/>
        <w:spacing w:line="360" w:lineRule="auto"/>
        <w:ind w:left="596" w:leftChars="284"/>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适用于合同的其他规范性文件：</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1.4 标准和规范</w:t>
      </w:r>
    </w:p>
    <w:p>
      <w:pPr>
        <w:spacing w:line="360" w:lineRule="auto"/>
        <w:ind w:left="596" w:leftChars="284"/>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1.4.1适用于工程的标准规范包括：</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line="360" w:lineRule="auto"/>
        <w:ind w:firstLine="420" w:firstLineChars="200"/>
        <w:outlineLvl w:val="0"/>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1.4.2 发包人提供国外标准、规范的名称：</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line="360" w:lineRule="auto"/>
        <w:ind w:firstLine="420" w:firstLineChars="200"/>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发包人提供国外标准、规范的份数：</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kern w:val="0"/>
          <w:sz w:val="21"/>
          <w:szCs w:val="21"/>
          <w:highlight w:val="none"/>
        </w:rPr>
        <w:t>发包人提供国外标准、规范的名称：</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line="360" w:lineRule="auto"/>
        <w:ind w:left="596" w:leftChars="284"/>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1.4.3发包人对工程的技术标准和功能要求的特殊要求：</w:t>
      </w:r>
    </w:p>
    <w:p>
      <w:pPr>
        <w:spacing w:line="360" w:lineRule="auto"/>
        <w:ind w:left="596" w:leftChars="284"/>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1.5 合同文件的优先顺序</w:t>
      </w:r>
    </w:p>
    <w:p>
      <w:pPr>
        <w:spacing w:line="360" w:lineRule="auto"/>
        <w:ind w:firstLine="420" w:firstLineChars="200"/>
        <w:rPr>
          <w:rFonts w:hint="eastAsia"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 xml:space="preserve">合同文件组成及优先顺序为：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1.6 图纸和承包人文件</w:t>
      </w:r>
      <w:r>
        <w:rPr>
          <w:rFonts w:ascii="Times New Roman" w:hAnsi="Times New Roman" w:eastAsia="黑体"/>
          <w:color w:val="auto"/>
          <w:sz w:val="21"/>
          <w:szCs w:val="21"/>
          <w:highlight w:val="none"/>
        </w:rPr>
        <w:tab/>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1.6.1 图纸的提供</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发包人向承包人提供图纸的期限：</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发包人向承包人提供图纸的数量：</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发包人向承包人提供图纸的内容：</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1.6.4 承包人文件</w:t>
      </w:r>
    </w:p>
    <w:p>
      <w:pPr>
        <w:spacing w:line="360" w:lineRule="auto"/>
        <w:ind w:left="596" w:leftChars="284"/>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需要由承包人提供的文件，包括：</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承包人提供的文件的期限为：</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承包人提供的文件的数量为：</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承包人提供的文件的形式为：</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发包人</w:t>
      </w:r>
      <w:r>
        <w:rPr>
          <w:rFonts w:hint="eastAsia" w:ascii="Times New Roman" w:hAnsi="Times New Roman" w:eastAsia="仿宋_GB2312"/>
          <w:color w:val="auto"/>
          <w:sz w:val="21"/>
          <w:szCs w:val="21"/>
          <w:highlight w:val="none"/>
        </w:rPr>
        <w:t>审批</w:t>
      </w:r>
      <w:r>
        <w:rPr>
          <w:rFonts w:ascii="Times New Roman" w:hAnsi="Times New Roman" w:eastAsia="仿宋_GB2312"/>
          <w:color w:val="auto"/>
          <w:sz w:val="21"/>
          <w:szCs w:val="21"/>
          <w:highlight w:val="none"/>
        </w:rPr>
        <w:t>承包人文件的期限：</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1.6.5 现场图纸准备</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关于现场图纸准备的约定：</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1.7 联络</w:t>
      </w:r>
    </w:p>
    <w:p>
      <w:pPr>
        <w:spacing w:line="360" w:lineRule="auto"/>
        <w:ind w:firstLine="420" w:firstLineChars="200"/>
        <w:rPr>
          <w:rFonts w:hint="eastAsia"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1.7.1发包人和承包人应当在</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kern w:val="0"/>
          <w:sz w:val="21"/>
          <w:szCs w:val="21"/>
          <w:highlight w:val="none"/>
        </w:rPr>
        <w:t>天内将与合同有关的通知、批准、证明、证书、指示、指令、要求、请求、同意、意见、确定和决定等书面函件送达对方当事人</w:t>
      </w:r>
      <w:r>
        <w:rPr>
          <w:rFonts w:hint="eastAsia" w:ascii="Times New Roman" w:hAnsi="Times New Roman" w:eastAsia="仿宋_GB2312"/>
          <w:color w:val="auto"/>
          <w:kern w:val="0"/>
          <w:sz w:val="21"/>
          <w:szCs w:val="21"/>
          <w:highlight w:val="none"/>
        </w:rPr>
        <w:t>。</w:t>
      </w:r>
    </w:p>
    <w:p>
      <w:pPr>
        <w:spacing w:line="360" w:lineRule="auto"/>
        <w:ind w:firstLine="420" w:firstLineChars="200"/>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1.7.2 发包人接收文件的地点：</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kern w:val="0"/>
          <w:sz w:val="21"/>
          <w:szCs w:val="21"/>
          <w:highlight w:val="none"/>
        </w:rPr>
        <w:t>；</w:t>
      </w:r>
    </w:p>
    <w:p>
      <w:pPr>
        <w:spacing w:line="360" w:lineRule="auto"/>
        <w:ind w:firstLine="420" w:firstLineChars="200"/>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发包人指定的接收人为：</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kern w:val="0"/>
          <w:sz w:val="21"/>
          <w:szCs w:val="21"/>
          <w:highlight w:val="none"/>
        </w:rPr>
        <w:t>。</w:t>
      </w:r>
    </w:p>
    <w:p>
      <w:pPr>
        <w:spacing w:line="360" w:lineRule="auto"/>
        <w:ind w:firstLine="420" w:firstLineChars="200"/>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承包人接收文件的地点：</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kern w:val="0"/>
          <w:sz w:val="21"/>
          <w:szCs w:val="21"/>
          <w:highlight w:val="none"/>
        </w:rPr>
        <w:t>；</w:t>
      </w:r>
    </w:p>
    <w:p>
      <w:pPr>
        <w:spacing w:line="360" w:lineRule="auto"/>
        <w:ind w:firstLine="420" w:firstLineChars="200"/>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承包人指定的接收人为：</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kern w:val="0"/>
          <w:sz w:val="21"/>
          <w:szCs w:val="21"/>
          <w:highlight w:val="none"/>
        </w:rPr>
        <w:t>。</w:t>
      </w:r>
    </w:p>
    <w:p>
      <w:pPr>
        <w:spacing w:line="360" w:lineRule="auto"/>
        <w:ind w:firstLine="420" w:firstLineChars="200"/>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监理人接收文件的地点：</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kern w:val="0"/>
          <w:sz w:val="21"/>
          <w:szCs w:val="21"/>
          <w:highlight w:val="none"/>
        </w:rPr>
        <w:t>；</w:t>
      </w:r>
    </w:p>
    <w:p>
      <w:pPr>
        <w:spacing w:line="360" w:lineRule="auto"/>
        <w:ind w:firstLine="420" w:firstLineChars="200"/>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监理人指定的接收人为：</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kern w:val="0"/>
          <w:sz w:val="21"/>
          <w:szCs w:val="21"/>
          <w:highlight w:val="none"/>
        </w:rPr>
        <w:t>。</w:t>
      </w:r>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1.10 交通运输</w:t>
      </w:r>
    </w:p>
    <w:p>
      <w:pPr>
        <w:spacing w:line="360" w:lineRule="auto"/>
        <w:ind w:firstLine="420" w:firstLineChars="200"/>
        <w:outlineLvl w:val="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w:t>
      </w:r>
      <w:bookmarkStart w:id="373" w:name="_Toc300934943"/>
      <w:bookmarkStart w:id="374" w:name="_Toc304295521"/>
      <w:bookmarkStart w:id="375" w:name="_Toc318581155"/>
      <w:bookmarkStart w:id="376" w:name="_Toc312677986"/>
      <w:bookmarkStart w:id="377" w:name="_Toc303539100"/>
      <w:r>
        <w:rPr>
          <w:rFonts w:ascii="Times New Roman" w:hAnsi="Times New Roman" w:eastAsia="仿宋_GB2312"/>
          <w:color w:val="auto"/>
          <w:sz w:val="21"/>
          <w:szCs w:val="21"/>
          <w:highlight w:val="none"/>
        </w:rPr>
        <w:t>.10.1 出入现场的权利</w:t>
      </w:r>
    </w:p>
    <w:p>
      <w:pPr>
        <w:spacing w:line="360" w:lineRule="auto"/>
        <w:ind w:left="596" w:leftChars="284"/>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关于出入现场的权利的约定：</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bookmarkEnd w:id="373"/>
    <w:bookmarkEnd w:id="374"/>
    <w:bookmarkEnd w:id="375"/>
    <w:bookmarkEnd w:id="376"/>
    <w:bookmarkEnd w:id="377"/>
    <w:p>
      <w:pPr>
        <w:spacing w:line="360" w:lineRule="auto"/>
        <w:ind w:firstLine="420" w:firstLineChars="200"/>
        <w:jc w:val="left"/>
        <w:outlineLvl w:val="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w:t>
      </w:r>
      <w:bookmarkStart w:id="378" w:name="_Toc300934944"/>
      <w:bookmarkStart w:id="379" w:name="_Toc303539101"/>
      <w:bookmarkStart w:id="380" w:name="_Toc304295522"/>
      <w:bookmarkStart w:id="381" w:name="_Toc318581156"/>
      <w:bookmarkStart w:id="382" w:name="_Toc312677987"/>
      <w:r>
        <w:rPr>
          <w:rFonts w:ascii="Times New Roman" w:hAnsi="Times New Roman" w:eastAsia="仿宋_GB2312"/>
          <w:color w:val="auto"/>
          <w:sz w:val="21"/>
          <w:szCs w:val="21"/>
          <w:highlight w:val="none"/>
        </w:rPr>
        <w:t>.10.3 场内交通</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关于场外交通和场内交通的边界的约定：</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关于发包人向承包人免费提供满足工程施工需要的场内道路和交通设施的约定：</w:t>
      </w:r>
      <w:r>
        <w:rPr>
          <w:rFonts w:ascii="Times New Roman" w:hAnsi="Times New Roman" w:eastAsia="仿宋_GB2312"/>
          <w:color w:val="auto"/>
          <w:sz w:val="21"/>
          <w:szCs w:val="21"/>
          <w:highlight w:val="none"/>
          <w:u w:val="single"/>
        </w:rPr>
        <w:t xml:space="preserve">  </w:t>
      </w:r>
      <w:r>
        <w:rPr>
          <w:rFonts w:ascii="Times New Roman" w:hAnsi="Times New Roman" w:eastAsia="仿宋_GB2312"/>
          <w:color w:val="auto"/>
          <w:sz w:val="21"/>
          <w:szCs w:val="21"/>
          <w:highlight w:val="none"/>
        </w:rPr>
        <w:t>。</w:t>
      </w:r>
      <w:bookmarkEnd w:id="378"/>
      <w:bookmarkEnd w:id="379"/>
      <w:bookmarkEnd w:id="380"/>
      <w:bookmarkEnd w:id="381"/>
      <w:bookmarkEnd w:id="382"/>
      <w:r>
        <w:rPr>
          <w:rFonts w:ascii="Times New Roman" w:hAnsi="Times New Roman" w:eastAsia="仿宋_GB2312"/>
          <w:color w:val="auto"/>
          <w:sz w:val="21"/>
          <w:szCs w:val="21"/>
          <w:highlight w:val="none"/>
        </w:rPr>
        <w:t xml:space="preserve">  </w:t>
      </w:r>
      <w:bookmarkStart w:id="383" w:name="_Toc318581157"/>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1.10.4超大件和超重件的运输</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运输超大件或超重件所需的道路和桥梁临时加固改造费用和其他有关费用由</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承担。</w:t>
      </w:r>
    </w:p>
    <w:bookmarkEnd w:id="383"/>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1.11 知识产权</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1.11.1关于发包人提供给承包人的图纸、发包人为实施工程自行编制或委托编制的技术规范以及反映发包人关于合同要求或其他类似性质的文件的著作权的归属：</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left="596" w:leftChars="284"/>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关于发包人提供的上述文件的使用限制的要求：</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eastAsia="仿宋_GB2312"/>
          <w:color w:val="auto"/>
          <w:sz w:val="21"/>
          <w:szCs w:val="21"/>
          <w:highlight w:val="none"/>
          <w:u w:val="single"/>
          <w:lang w:val="en-US" w:eastAsia="zh-CN"/>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left="596" w:leftChars="284"/>
        <w:outlineLvl w:val="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1.11.2 关于承包人为实施工程所编制文件的著作权的归属：</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hint="eastAsia" w:eastAsia="仿宋_GB2312"/>
          <w:color w:val="auto"/>
          <w:sz w:val="21"/>
          <w:szCs w:val="21"/>
          <w:highlight w:val="none"/>
          <w:u w:val="single"/>
          <w:lang w:val="en-US" w:eastAsia="zh-CN"/>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关于承包人提供的上述文件的使用限制的要求：</w:t>
      </w:r>
      <w:r>
        <w:rPr>
          <w:rFonts w:ascii="Times New Roman" w:hAnsi="Times New Roman" w:eastAsia="仿宋_GB2312"/>
          <w:color w:val="auto"/>
          <w:sz w:val="21"/>
          <w:szCs w:val="21"/>
          <w:highlight w:val="none"/>
          <w:u w:val="single"/>
        </w:rPr>
        <w:t>   </w:t>
      </w:r>
      <w:r>
        <w:rPr>
          <w:rFonts w:ascii="Times New Roman" w:hAnsi="Times New Roman" w:eastAsia="仿宋_GB2312"/>
          <w:color w:val="auto"/>
          <w:sz w:val="21"/>
          <w:szCs w:val="21"/>
          <w:highlight w:val="none"/>
        </w:rPr>
        <w:t>。</w:t>
      </w:r>
    </w:p>
    <w:p>
      <w:pPr>
        <w:spacing w:line="360" w:lineRule="auto"/>
        <w:ind w:firstLine="420" w:firstLineChars="200"/>
        <w:outlineLvl w:val="0"/>
        <w:rPr>
          <w:rFonts w:ascii="Times New Roman" w:hAnsi="Times New Roman" w:eastAsia="仿宋_GB2312"/>
          <w:color w:val="auto"/>
          <w:kern w:val="0"/>
          <w:sz w:val="21"/>
          <w:szCs w:val="21"/>
          <w:highlight w:val="none"/>
        </w:rPr>
      </w:pPr>
      <w:r>
        <w:rPr>
          <w:rFonts w:ascii="Times New Roman" w:hAnsi="Times New Roman" w:eastAsia="仿宋_GB2312"/>
          <w:color w:val="auto"/>
          <w:sz w:val="21"/>
          <w:szCs w:val="21"/>
          <w:highlight w:val="none"/>
        </w:rPr>
        <w:t>1.11.4 承包人在施工过程中所采用的专利、专有技术、技术秘密的使用费的承担方式：</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kern w:val="0"/>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1.13工程量清单错误的修正</w:t>
      </w:r>
    </w:p>
    <w:p>
      <w:pPr>
        <w:spacing w:line="360" w:lineRule="auto"/>
        <w:ind w:firstLine="420" w:firstLineChars="200"/>
        <w:rPr>
          <w:rFonts w:ascii="Times New Roman" w:hAnsi="Times New Roman" w:eastAsia="仿宋_GB2312"/>
          <w:color w:val="auto"/>
          <w:sz w:val="21"/>
          <w:szCs w:val="21"/>
          <w:highlight w:val="none"/>
        </w:rPr>
      </w:pPr>
      <w:r>
        <w:rPr>
          <w:rFonts w:hint="eastAsia" w:ascii="Times New Roman" w:hAnsi="Times New Roman" w:eastAsia="仿宋_GB2312"/>
          <w:color w:val="auto"/>
          <w:sz w:val="21"/>
          <w:szCs w:val="21"/>
          <w:highlight w:val="none"/>
        </w:rPr>
        <w:t>出现工程量清单错误时，是否调整合同价格：</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  </w:t>
      </w:r>
      <w:r>
        <w:rPr>
          <w:rFonts w:ascii="Times New Roman" w:hAnsi="Times New Roman" w:eastAsia="仿宋_GB2312"/>
          <w:color w:val="auto"/>
          <w:kern w:val="0"/>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允许调整合同价格的工程量偏差范围：</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kern w:val="0"/>
          <w:sz w:val="21"/>
          <w:szCs w:val="21"/>
          <w:highlight w:val="none"/>
        </w:rPr>
        <w:t>。</w:t>
      </w:r>
    </w:p>
    <w:p>
      <w:pPr>
        <w:pStyle w:val="11"/>
        <w:spacing w:before="120" w:after="120" w:line="360" w:lineRule="auto"/>
        <w:rPr>
          <w:rFonts w:ascii="Times New Roman" w:hAnsi="Times New Roman" w:eastAsia="黑体"/>
          <w:b w:val="0"/>
          <w:color w:val="auto"/>
          <w:sz w:val="21"/>
          <w:szCs w:val="21"/>
          <w:highlight w:val="none"/>
        </w:rPr>
      </w:pPr>
      <w:bookmarkStart w:id="384" w:name="_Toc351203634"/>
      <w:r>
        <w:rPr>
          <w:rFonts w:ascii="Times New Roman" w:hAnsi="Times New Roman" w:eastAsia="黑体"/>
          <w:b w:val="0"/>
          <w:color w:val="auto"/>
          <w:sz w:val="21"/>
          <w:szCs w:val="21"/>
          <w:highlight w:val="none"/>
        </w:rPr>
        <w:t>2</w:t>
      </w:r>
      <w:bookmarkStart w:id="385" w:name="_Toc296503157"/>
      <w:bookmarkStart w:id="386" w:name="_Toc292559867"/>
      <w:bookmarkStart w:id="387" w:name="_Toc297120457"/>
      <w:bookmarkStart w:id="388" w:name="_Toc296890985"/>
      <w:bookmarkStart w:id="389" w:name="_Toc296891197"/>
      <w:bookmarkStart w:id="390" w:name="_Toc292559362"/>
      <w:bookmarkStart w:id="391" w:name="_Toc296346658"/>
      <w:bookmarkStart w:id="392" w:name="_Toc297048343"/>
      <w:bookmarkStart w:id="393" w:name="_Toc296347156"/>
      <w:bookmarkStart w:id="394" w:name="_Toc296944496"/>
      <w:r>
        <w:rPr>
          <w:rFonts w:ascii="Times New Roman" w:hAnsi="Times New Roman" w:eastAsia="黑体"/>
          <w:b w:val="0"/>
          <w:color w:val="auto"/>
          <w:sz w:val="21"/>
          <w:szCs w:val="21"/>
          <w:highlight w:val="none"/>
        </w:rPr>
        <w:t>. 发包人</w:t>
      </w:r>
      <w:bookmarkEnd w:id="384"/>
    </w:p>
    <w:bookmarkEnd w:id="385"/>
    <w:bookmarkEnd w:id="386"/>
    <w:bookmarkEnd w:id="387"/>
    <w:bookmarkEnd w:id="388"/>
    <w:bookmarkEnd w:id="389"/>
    <w:bookmarkEnd w:id="390"/>
    <w:bookmarkEnd w:id="391"/>
    <w:bookmarkEnd w:id="392"/>
    <w:bookmarkEnd w:id="393"/>
    <w:bookmarkEnd w:id="394"/>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2.2 发包人代表</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发包人代表：</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姓    名：</w:t>
      </w:r>
      <w:r>
        <w:rPr>
          <w:rFonts w:ascii="Times New Roman" w:hAnsi="Times New Roman" w:eastAsia="仿宋_GB2312"/>
          <w:color w:val="auto"/>
          <w:sz w:val="21"/>
          <w:szCs w:val="21"/>
          <w:highlight w:val="none"/>
          <w:u w:val="single"/>
        </w:rPr>
        <w:t xml:space="preserve"> 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身份证号：</w:t>
      </w:r>
      <w:r>
        <w:rPr>
          <w:rFonts w:ascii="Times New Roman" w:hAnsi="Times New Roman" w:eastAsia="仿宋_GB2312"/>
          <w:color w:val="auto"/>
          <w:sz w:val="21"/>
          <w:szCs w:val="21"/>
          <w:highlight w:val="none"/>
          <w:u w:val="single"/>
        </w:rPr>
        <w:t xml:space="preserve"> 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职    务：</w:t>
      </w:r>
      <w:r>
        <w:rPr>
          <w:rFonts w:ascii="Times New Roman" w:hAnsi="Times New Roman" w:eastAsia="仿宋_GB2312"/>
          <w:color w:val="auto"/>
          <w:sz w:val="21"/>
          <w:szCs w:val="21"/>
          <w:highlight w:val="none"/>
          <w:u w:val="single"/>
        </w:rPr>
        <w:t>   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联系电话：</w:t>
      </w:r>
      <w:r>
        <w:rPr>
          <w:rFonts w:ascii="Times New Roman" w:hAnsi="Times New Roman" w:eastAsia="仿宋_GB2312"/>
          <w:color w:val="auto"/>
          <w:sz w:val="21"/>
          <w:szCs w:val="21"/>
          <w:highlight w:val="none"/>
          <w:u w:val="single"/>
        </w:rPr>
        <w:t>  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电子信箱：</w:t>
      </w:r>
      <w:r>
        <w:rPr>
          <w:rFonts w:ascii="Times New Roman" w:hAnsi="Times New Roman" w:eastAsia="仿宋_GB2312"/>
          <w:color w:val="auto"/>
          <w:sz w:val="21"/>
          <w:szCs w:val="21"/>
          <w:highlight w:val="none"/>
          <w:u w:val="single"/>
        </w:rPr>
        <w:t>  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通信地址：</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b/>
          <w:color w:val="auto"/>
          <w:sz w:val="21"/>
          <w:szCs w:val="21"/>
          <w:highlight w:val="none"/>
        </w:rPr>
      </w:pPr>
      <w:r>
        <w:rPr>
          <w:rFonts w:ascii="Times New Roman" w:hAnsi="Times New Roman" w:eastAsia="仿宋_GB2312"/>
          <w:color w:val="auto"/>
          <w:sz w:val="21"/>
          <w:szCs w:val="21"/>
          <w:highlight w:val="none"/>
        </w:rPr>
        <w:t>发包人对发包人代表的授权范围如下：</w:t>
      </w:r>
      <w:r>
        <w:rPr>
          <w:rFonts w:ascii="Times New Roman" w:hAnsi="Times New Roman" w:eastAsia="仿宋_GB2312"/>
          <w:color w:val="auto"/>
          <w:sz w:val="21"/>
          <w:szCs w:val="21"/>
          <w:highlight w:val="none"/>
          <w:u w:val="single"/>
        </w:rPr>
        <w:t>     </w:t>
      </w:r>
      <w:r>
        <w:rPr>
          <w:rFonts w:ascii="Times New Roman" w:hAnsi="Times New Roman" w:eastAsia="仿宋_GB2312"/>
          <w:color w:val="auto"/>
          <w:sz w:val="21"/>
          <w:szCs w:val="21"/>
          <w:highlight w:val="none"/>
        </w:rPr>
        <w:t>。</w:t>
      </w:r>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2.4 施工现场、施工条件和基础资料的提供</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2.4.1 提供施工现场</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关于发包人移交施工现场的期限要求：</w:t>
      </w:r>
      <w:r>
        <w:rPr>
          <w:rFonts w:ascii="Times New Roman" w:hAnsi="Times New Roman" w:eastAsia="仿宋_GB2312"/>
          <w:color w:val="auto"/>
          <w:sz w:val="21"/>
          <w:szCs w:val="21"/>
          <w:highlight w:val="none"/>
          <w:u w:val="single"/>
        </w:rPr>
        <w:t xml:space="preserve">             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2.4.2 提供施工条件</w:t>
      </w:r>
    </w:p>
    <w:p>
      <w:pPr>
        <w:spacing w:line="360" w:lineRule="auto"/>
        <w:ind w:firstLine="420" w:firstLineChars="200"/>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关于发包人应负责提供施工</w:t>
      </w:r>
      <w:r>
        <w:rPr>
          <w:rFonts w:hint="eastAsia" w:ascii="Times New Roman" w:hAnsi="Times New Roman" w:eastAsia="仿宋_GB2312"/>
          <w:color w:val="auto"/>
          <w:sz w:val="21"/>
          <w:szCs w:val="21"/>
          <w:highlight w:val="none"/>
        </w:rPr>
        <w:t>所需要的条件，</w:t>
      </w:r>
      <w:r>
        <w:rPr>
          <w:rFonts w:ascii="Times New Roman" w:hAnsi="Times New Roman" w:eastAsia="仿宋_GB2312"/>
          <w:color w:val="auto"/>
          <w:sz w:val="21"/>
          <w:szCs w:val="21"/>
          <w:highlight w:val="none"/>
        </w:rPr>
        <w:t>包括：</w:t>
      </w:r>
      <w:r>
        <w:rPr>
          <w:rFonts w:ascii="Times New Roman" w:hAnsi="Times New Roman" w:eastAsia="仿宋_GB2312"/>
          <w:color w:val="auto"/>
          <w:sz w:val="21"/>
          <w:szCs w:val="21"/>
          <w:highlight w:val="none"/>
          <w:u w:val="single"/>
        </w:rPr>
        <w:t xml:space="preserve">  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2.5 资金来源证明及支付担保</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发包人提供资金来源证明的期限要求：</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发包人是否提供支付担保：</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发包人提供支付担保的形式：</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pStyle w:val="11"/>
        <w:spacing w:before="120" w:after="120" w:line="360" w:lineRule="auto"/>
        <w:rPr>
          <w:rFonts w:ascii="Times New Roman" w:hAnsi="Times New Roman" w:eastAsia="黑体"/>
          <w:b w:val="0"/>
          <w:color w:val="auto"/>
          <w:sz w:val="21"/>
          <w:szCs w:val="21"/>
          <w:highlight w:val="none"/>
        </w:rPr>
      </w:pPr>
      <w:bookmarkStart w:id="395" w:name="_Toc351203635"/>
      <w:r>
        <w:rPr>
          <w:rFonts w:ascii="Times New Roman" w:hAnsi="Times New Roman" w:eastAsia="黑体"/>
          <w:b w:val="0"/>
          <w:color w:val="auto"/>
          <w:sz w:val="21"/>
          <w:szCs w:val="21"/>
          <w:highlight w:val="none"/>
        </w:rPr>
        <w:t>3</w:t>
      </w:r>
      <w:bookmarkStart w:id="396" w:name="_Toc296891198"/>
      <w:bookmarkStart w:id="397" w:name="_Toc297048344"/>
      <w:bookmarkStart w:id="398" w:name="_Toc296347157"/>
      <w:bookmarkStart w:id="399" w:name="_Toc296503158"/>
      <w:bookmarkStart w:id="400" w:name="_Toc296944497"/>
      <w:bookmarkStart w:id="401" w:name="_Toc296890986"/>
      <w:bookmarkStart w:id="402" w:name="_Toc292559868"/>
      <w:bookmarkStart w:id="403" w:name="_Toc296346659"/>
      <w:bookmarkStart w:id="404" w:name="_Toc297120458"/>
      <w:bookmarkStart w:id="405" w:name="_Toc292559363"/>
      <w:r>
        <w:rPr>
          <w:rFonts w:ascii="Times New Roman" w:hAnsi="Times New Roman" w:eastAsia="黑体"/>
          <w:b w:val="0"/>
          <w:color w:val="auto"/>
          <w:sz w:val="21"/>
          <w:szCs w:val="21"/>
          <w:highlight w:val="none"/>
        </w:rPr>
        <w:t>. 承包人</w:t>
      </w:r>
      <w:bookmarkEnd w:id="395"/>
    </w:p>
    <w:bookmarkEnd w:id="396"/>
    <w:bookmarkEnd w:id="397"/>
    <w:bookmarkEnd w:id="398"/>
    <w:bookmarkEnd w:id="399"/>
    <w:bookmarkEnd w:id="400"/>
    <w:bookmarkEnd w:id="401"/>
    <w:bookmarkEnd w:id="402"/>
    <w:bookmarkEnd w:id="403"/>
    <w:bookmarkEnd w:id="404"/>
    <w:bookmarkEnd w:id="405"/>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3.1 承包人的一般义务</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kern w:val="0"/>
          <w:sz w:val="21"/>
          <w:szCs w:val="21"/>
          <w:highlight w:val="none"/>
        </w:rPr>
        <w:t>（</w:t>
      </w:r>
      <w:r>
        <w:rPr>
          <w:rFonts w:hint="eastAsia" w:ascii="Times New Roman" w:hAnsi="Times New Roman" w:eastAsia="仿宋_GB2312"/>
          <w:color w:val="auto"/>
          <w:kern w:val="0"/>
          <w:sz w:val="21"/>
          <w:szCs w:val="21"/>
          <w:highlight w:val="none"/>
        </w:rPr>
        <w:t>9</w:t>
      </w:r>
      <w:r>
        <w:rPr>
          <w:rFonts w:ascii="Times New Roman" w:hAnsi="Times New Roman" w:eastAsia="仿宋_GB2312"/>
          <w:color w:val="auto"/>
          <w:kern w:val="0"/>
          <w:sz w:val="21"/>
          <w:szCs w:val="21"/>
          <w:highlight w:val="none"/>
        </w:rPr>
        <w:t>）</w:t>
      </w:r>
      <w:r>
        <w:rPr>
          <w:rFonts w:ascii="Times New Roman" w:hAnsi="Times New Roman" w:eastAsia="仿宋_GB2312"/>
          <w:color w:val="auto"/>
          <w:sz w:val="21"/>
          <w:szCs w:val="21"/>
          <w:highlight w:val="none"/>
        </w:rPr>
        <w:t>承包人提交的竣工资料的内容：</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 xml:space="preserve"> 。</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承包人需要提交的竣工资料套数：</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hint="eastAsia" w:eastAsia="仿宋_GB2312"/>
          <w:color w:val="auto"/>
          <w:sz w:val="21"/>
          <w:szCs w:val="21"/>
          <w:highlight w:val="none"/>
          <w:u w:val="single"/>
          <w:lang w:val="en-US" w:eastAsia="zh-CN"/>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left="638" w:leftChars="304"/>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承包人提交的竣工资料的费用承担：</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left="638" w:leftChars="304"/>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承包人提交的竣工资料移交时间：</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hint="eastAsia"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承包人提交的竣工资料形式要求：</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eastAsia="仿宋_GB2312"/>
          <w:color w:val="auto"/>
          <w:sz w:val="21"/>
          <w:szCs w:val="21"/>
          <w:highlight w:val="none"/>
          <w:u w:val="single"/>
          <w:lang w:val="en-US" w:eastAsia="zh-CN"/>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kern w:val="0"/>
          <w:sz w:val="21"/>
          <w:szCs w:val="21"/>
          <w:highlight w:val="none"/>
        </w:rPr>
        <w:t>（</w:t>
      </w:r>
      <w:r>
        <w:rPr>
          <w:rFonts w:hint="eastAsia" w:ascii="Times New Roman" w:hAnsi="Times New Roman" w:eastAsia="仿宋_GB2312"/>
          <w:color w:val="auto"/>
          <w:kern w:val="0"/>
          <w:sz w:val="21"/>
          <w:szCs w:val="21"/>
          <w:highlight w:val="none"/>
        </w:rPr>
        <w:t>10</w:t>
      </w:r>
      <w:r>
        <w:rPr>
          <w:rFonts w:ascii="Times New Roman" w:hAnsi="Times New Roman" w:eastAsia="仿宋_GB2312"/>
          <w:color w:val="auto"/>
          <w:kern w:val="0"/>
          <w:sz w:val="21"/>
          <w:szCs w:val="21"/>
          <w:highlight w:val="none"/>
        </w:rPr>
        <w:t>）承包人应履行的其他义务：</w:t>
      </w:r>
      <w:r>
        <w:rPr>
          <w:rFonts w:ascii="Times New Roman" w:hAnsi="Times New Roman" w:eastAsia="仿宋_GB2312"/>
          <w:color w:val="auto"/>
          <w:sz w:val="21"/>
          <w:szCs w:val="21"/>
          <w:highlight w:val="none"/>
          <w:u w:val="single"/>
        </w:rPr>
        <w:t>             </w:t>
      </w:r>
      <w:r>
        <w:rPr>
          <w:rFonts w:hint="eastAsia" w:eastAsia="仿宋_GB2312"/>
          <w:color w:val="auto"/>
          <w:sz w:val="21"/>
          <w:szCs w:val="21"/>
          <w:highlight w:val="none"/>
          <w:u w:val="single"/>
          <w:lang w:val="en-US" w:eastAsia="zh-CN"/>
        </w:rPr>
        <w:t xml:space="preserve"> </w:t>
      </w:r>
      <w:r>
        <w:rPr>
          <w:rFonts w:ascii="Times New Roman" w:hAnsi="Times New Roman" w:eastAsia="仿宋_GB2312"/>
          <w:color w:val="auto"/>
          <w:sz w:val="21"/>
          <w:szCs w:val="21"/>
          <w:highlight w:val="none"/>
          <w:u w:val="single"/>
        </w:rPr>
        <w:t></w:t>
      </w:r>
      <w:r>
        <w:rPr>
          <w:rFonts w:hint="eastAsia" w:eastAsia="仿宋_GB2312"/>
          <w:color w:val="auto"/>
          <w:sz w:val="21"/>
          <w:szCs w:val="21"/>
          <w:highlight w:val="none"/>
          <w:u w:val="single"/>
          <w:lang w:val="en-US" w:eastAsia="zh-CN"/>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rPr>
          <w:rFonts w:hint="eastAsia" w:ascii="Times New Roman" w:hAnsi="Times New Roman" w:eastAsia="黑体"/>
          <w:color w:val="auto"/>
          <w:sz w:val="21"/>
          <w:szCs w:val="21"/>
          <w:highlight w:val="none"/>
          <w:lang w:eastAsia="zh-CN"/>
        </w:rPr>
      </w:pPr>
      <w:r>
        <w:rPr>
          <w:rFonts w:ascii="Times New Roman" w:hAnsi="Times New Roman" w:eastAsia="黑体"/>
          <w:color w:val="auto"/>
          <w:sz w:val="21"/>
          <w:szCs w:val="21"/>
          <w:highlight w:val="none"/>
        </w:rPr>
        <w:t xml:space="preserve">3.2 </w:t>
      </w:r>
      <w:r>
        <w:rPr>
          <w:rFonts w:hint="eastAsia" w:eastAsia="黑体"/>
          <w:color w:val="auto"/>
          <w:sz w:val="21"/>
          <w:szCs w:val="21"/>
          <w:highlight w:val="none"/>
          <w:lang w:eastAsia="zh-CN"/>
        </w:rPr>
        <w:t>项目经理</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kern w:val="0"/>
          <w:sz w:val="21"/>
          <w:szCs w:val="21"/>
          <w:highlight w:val="none"/>
        </w:rPr>
        <w:t xml:space="preserve">3.2.1 </w:t>
      </w:r>
      <w:r>
        <w:rPr>
          <w:rFonts w:hint="eastAsia" w:eastAsia="仿宋_GB2312"/>
          <w:color w:val="auto"/>
          <w:sz w:val="21"/>
          <w:szCs w:val="21"/>
          <w:highlight w:val="none"/>
          <w:lang w:eastAsia="zh-CN"/>
        </w:rPr>
        <w:t>项目经理</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姓    名：</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身份证号：</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建造师执业资格等级：</w:t>
      </w:r>
      <w:r>
        <w:rPr>
          <w:rFonts w:ascii="Times New Roman" w:hAnsi="Times New Roman" w:eastAsia="仿宋_GB2312"/>
          <w:color w:val="auto"/>
          <w:sz w:val="21"/>
          <w:szCs w:val="21"/>
          <w:highlight w:val="none"/>
          <w:u w:val="single"/>
        </w:rPr>
        <w:t>  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建造师注册证书号：</w:t>
      </w:r>
      <w:r>
        <w:rPr>
          <w:rFonts w:ascii="Times New Roman" w:hAnsi="Times New Roman" w:eastAsia="仿宋_GB2312"/>
          <w:color w:val="auto"/>
          <w:sz w:val="21"/>
          <w:szCs w:val="21"/>
          <w:highlight w:val="none"/>
          <w:u w:val="single"/>
        </w:rPr>
        <w:t>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建造师执业印章号：</w:t>
      </w:r>
      <w:r>
        <w:rPr>
          <w:rFonts w:ascii="Times New Roman" w:hAnsi="Times New Roman" w:eastAsia="仿宋_GB2312"/>
          <w:color w:val="auto"/>
          <w:sz w:val="21"/>
          <w:szCs w:val="21"/>
          <w:highlight w:val="none"/>
          <w:u w:val="single"/>
        </w:rPr>
        <w:t>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安全生产考核合格证书号：</w:t>
      </w:r>
      <w:r>
        <w:rPr>
          <w:rFonts w:ascii="Times New Roman" w:hAnsi="Times New Roman" w:eastAsia="仿宋_GB2312"/>
          <w:color w:val="auto"/>
          <w:sz w:val="21"/>
          <w:szCs w:val="21"/>
          <w:highlight w:val="none"/>
          <w:u w:val="single"/>
        </w:rPr>
        <w:t>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联系电话：</w:t>
      </w:r>
      <w:r>
        <w:rPr>
          <w:rFonts w:ascii="Times New Roman" w:hAnsi="Times New Roman" w:eastAsia="仿宋_GB2312"/>
          <w:color w:val="auto"/>
          <w:sz w:val="21"/>
          <w:szCs w:val="21"/>
          <w:highlight w:val="none"/>
          <w:u w:val="single"/>
        </w:rPr>
        <w:t>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电子信箱：</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通信地址：</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承包人对</w:t>
      </w:r>
      <w:r>
        <w:rPr>
          <w:rFonts w:hint="eastAsia" w:eastAsia="仿宋_GB2312"/>
          <w:color w:val="auto"/>
          <w:sz w:val="21"/>
          <w:szCs w:val="21"/>
          <w:highlight w:val="none"/>
          <w:lang w:eastAsia="zh-CN"/>
        </w:rPr>
        <w:t>项目经理</w:t>
      </w:r>
      <w:r>
        <w:rPr>
          <w:rFonts w:ascii="Times New Roman" w:hAnsi="Times New Roman" w:eastAsia="仿宋_GB2312"/>
          <w:color w:val="auto"/>
          <w:sz w:val="21"/>
          <w:szCs w:val="21"/>
          <w:highlight w:val="none"/>
        </w:rPr>
        <w:t>的授权范围如下：</w:t>
      </w:r>
      <w:r>
        <w:rPr>
          <w:rFonts w:ascii="Times New Roman" w:hAnsi="Times New Roman" w:eastAsia="仿宋_GB2312"/>
          <w:color w:val="auto"/>
          <w:sz w:val="21"/>
          <w:szCs w:val="21"/>
          <w:highlight w:val="none"/>
          <w:u w:val="single"/>
        </w:rPr>
        <w:t></w:t>
      </w:r>
      <w:r>
        <w:rPr>
          <w:rFonts w:hint="eastAsia" w:eastAsia="仿宋_GB2312"/>
          <w:color w:val="auto"/>
          <w:sz w:val="21"/>
          <w:szCs w:val="21"/>
          <w:highlight w:val="none"/>
          <w:u w:val="single"/>
          <w:lang w:val="en-US" w:eastAsia="zh-CN"/>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关于</w:t>
      </w:r>
      <w:r>
        <w:rPr>
          <w:rFonts w:hint="eastAsia" w:eastAsia="仿宋_GB2312"/>
          <w:color w:val="auto"/>
          <w:kern w:val="0"/>
          <w:sz w:val="21"/>
          <w:szCs w:val="21"/>
          <w:highlight w:val="none"/>
          <w:lang w:eastAsia="zh-CN"/>
        </w:rPr>
        <w:t>项目经理</w:t>
      </w:r>
      <w:r>
        <w:rPr>
          <w:rFonts w:ascii="Times New Roman" w:hAnsi="Times New Roman" w:eastAsia="仿宋_GB2312"/>
          <w:color w:val="auto"/>
          <w:kern w:val="0"/>
          <w:sz w:val="21"/>
          <w:szCs w:val="21"/>
          <w:highlight w:val="none"/>
        </w:rPr>
        <w:t>每月在施工现场的时间要求：</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承包人未提交劳动合同，以及没有为</w:t>
      </w:r>
      <w:r>
        <w:rPr>
          <w:rFonts w:hint="eastAsia" w:eastAsia="仿宋_GB2312"/>
          <w:color w:val="auto"/>
          <w:kern w:val="0"/>
          <w:sz w:val="21"/>
          <w:szCs w:val="21"/>
          <w:highlight w:val="none"/>
          <w:lang w:eastAsia="zh-CN"/>
        </w:rPr>
        <w:t>项目经理</w:t>
      </w:r>
      <w:r>
        <w:rPr>
          <w:rFonts w:ascii="Times New Roman" w:hAnsi="Times New Roman" w:eastAsia="仿宋_GB2312"/>
          <w:color w:val="auto"/>
          <w:kern w:val="0"/>
          <w:sz w:val="21"/>
          <w:szCs w:val="21"/>
          <w:highlight w:val="none"/>
        </w:rPr>
        <w:t>缴纳社会保险证明的违约责任：</w:t>
      </w:r>
      <w:r>
        <w:rPr>
          <w:rFonts w:ascii="Times New Roman" w:hAnsi="Times New Roman" w:eastAsia="仿宋_GB2312"/>
          <w:color w:val="auto"/>
          <w:sz w:val="21"/>
          <w:szCs w:val="21"/>
          <w:highlight w:val="none"/>
          <w:u w:val="single"/>
        </w:rPr>
        <w:t xml:space="preserve">     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u w:val="single"/>
        </w:rPr>
      </w:pPr>
      <w:r>
        <w:rPr>
          <w:rFonts w:hint="eastAsia" w:eastAsia="仿宋_GB2312"/>
          <w:color w:val="auto"/>
          <w:kern w:val="0"/>
          <w:sz w:val="21"/>
          <w:szCs w:val="21"/>
          <w:highlight w:val="none"/>
          <w:lang w:eastAsia="zh-CN"/>
        </w:rPr>
        <w:t>项目经理</w:t>
      </w:r>
      <w:r>
        <w:rPr>
          <w:rFonts w:ascii="Times New Roman" w:hAnsi="Times New Roman" w:eastAsia="仿宋_GB2312"/>
          <w:color w:val="auto"/>
          <w:kern w:val="0"/>
          <w:sz w:val="21"/>
          <w:szCs w:val="21"/>
          <w:highlight w:val="none"/>
        </w:rPr>
        <w:t>未经批准，擅自离开施工现场的违约责任：</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         </w:t>
      </w:r>
      <w:r>
        <w:rPr>
          <w:rFonts w:hint="eastAsia" w:eastAsia="仿宋_GB2312"/>
          <w:color w:val="auto"/>
          <w:sz w:val="21"/>
          <w:szCs w:val="21"/>
          <w:highlight w:val="none"/>
          <w:u w:val="single"/>
          <w:lang w:val="en-US" w:eastAsia="zh-CN"/>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3.2.3 承包人擅自更换</w:t>
      </w:r>
      <w:r>
        <w:rPr>
          <w:rFonts w:hint="eastAsia" w:eastAsia="仿宋_GB2312"/>
          <w:color w:val="auto"/>
          <w:sz w:val="21"/>
          <w:szCs w:val="21"/>
          <w:highlight w:val="none"/>
          <w:lang w:eastAsia="zh-CN"/>
        </w:rPr>
        <w:t>项目经理</w:t>
      </w:r>
      <w:r>
        <w:rPr>
          <w:rFonts w:ascii="Times New Roman" w:hAnsi="Times New Roman" w:eastAsia="仿宋_GB2312"/>
          <w:color w:val="auto"/>
          <w:sz w:val="21"/>
          <w:szCs w:val="21"/>
          <w:highlight w:val="none"/>
        </w:rPr>
        <w:t>的违约责任：</w:t>
      </w:r>
      <w:r>
        <w:rPr>
          <w:rFonts w:ascii="Times New Roman" w:hAnsi="Times New Roman" w:eastAsia="仿宋_GB2312"/>
          <w:color w:val="auto"/>
          <w:sz w:val="21"/>
          <w:szCs w:val="21"/>
          <w:highlight w:val="none"/>
          <w:u w:val="single"/>
        </w:rPr>
        <w:t xml:space="preserve">              </w:t>
      </w:r>
      <w:r>
        <w:rPr>
          <w:rFonts w:hint="eastAsia" w:eastAsia="仿宋_GB2312"/>
          <w:color w:val="auto"/>
          <w:sz w:val="21"/>
          <w:szCs w:val="21"/>
          <w:highlight w:val="none"/>
          <w:u w:val="single"/>
          <w:lang w:val="en-US" w:eastAsia="zh-CN"/>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outlineLvl w:val="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 xml:space="preserve">    3.2.4 承包人无正当理由拒绝更换</w:t>
      </w:r>
      <w:r>
        <w:rPr>
          <w:rFonts w:hint="eastAsia" w:eastAsia="仿宋_GB2312"/>
          <w:color w:val="auto"/>
          <w:sz w:val="21"/>
          <w:szCs w:val="21"/>
          <w:highlight w:val="none"/>
          <w:lang w:eastAsia="zh-CN"/>
        </w:rPr>
        <w:t>项目经理</w:t>
      </w:r>
      <w:r>
        <w:rPr>
          <w:rFonts w:ascii="Times New Roman" w:hAnsi="Times New Roman" w:eastAsia="仿宋_GB2312"/>
          <w:color w:val="auto"/>
          <w:sz w:val="21"/>
          <w:szCs w:val="21"/>
          <w:highlight w:val="none"/>
        </w:rPr>
        <w:t>的违约责任：</w:t>
      </w:r>
      <w:r>
        <w:rPr>
          <w:rFonts w:ascii="Times New Roman" w:hAnsi="Times New Roman" w:eastAsia="仿宋_GB2312"/>
          <w:color w:val="auto"/>
          <w:sz w:val="21"/>
          <w:szCs w:val="21"/>
          <w:highlight w:val="none"/>
          <w:u w:val="single"/>
        </w:rPr>
        <w:t xml:space="preserve">  </w:t>
      </w:r>
      <w:r>
        <w:rPr>
          <w:rFonts w:hint="eastAsia" w:eastAsia="仿宋_GB2312"/>
          <w:color w:val="auto"/>
          <w:sz w:val="21"/>
          <w:szCs w:val="21"/>
          <w:highlight w:val="none"/>
          <w:u w:val="single"/>
          <w:lang w:val="en-US" w:eastAsia="zh-CN"/>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3.3 承包人人员</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3.3.1 承包人提交项目管理机构及施工现场管理人员安排报告的期限：</w:t>
      </w:r>
      <w:r>
        <w:rPr>
          <w:rFonts w:ascii="Times New Roman" w:hAnsi="Times New Roman" w:eastAsia="仿宋_GB2312"/>
          <w:color w:val="auto"/>
          <w:sz w:val="21"/>
          <w:szCs w:val="21"/>
          <w:highlight w:val="none"/>
          <w:u w:val="single"/>
        </w:rPr>
        <w:t xml:space="preserve">  </w:t>
      </w:r>
      <w:r>
        <w:rPr>
          <w:rFonts w:hint="eastAsia" w:eastAsia="仿宋_GB2312"/>
          <w:color w:val="auto"/>
          <w:sz w:val="21"/>
          <w:szCs w:val="21"/>
          <w:highlight w:val="none"/>
          <w:u w:val="single"/>
          <w:lang w:val="en-US" w:eastAsia="zh-CN"/>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3.3.3 承包人无正当理由拒绝撤换主要施工管理人员的违约责任：</w:t>
      </w:r>
      <w:r>
        <w:rPr>
          <w:rFonts w:ascii="Times New Roman" w:hAnsi="Times New Roman" w:eastAsia="仿宋_GB2312"/>
          <w:color w:val="auto"/>
          <w:sz w:val="21"/>
          <w:szCs w:val="21"/>
          <w:highlight w:val="none"/>
          <w:u w:val="single"/>
        </w:rPr>
        <w:t xml:space="preserve">  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3.3.4 承包人主要施工管理人员离开施工现场的批准要求：</w:t>
      </w:r>
      <w:r>
        <w:rPr>
          <w:rFonts w:hint="eastAsia" w:eastAsia="仿宋_GB2312"/>
          <w:color w:val="auto"/>
          <w:sz w:val="21"/>
          <w:szCs w:val="21"/>
          <w:highlight w:val="none"/>
          <w:u w:val="single"/>
          <w:lang w:val="en-US" w:eastAsia="zh-CN"/>
        </w:rPr>
        <w:t xml:space="preserve">                     </w:t>
      </w:r>
      <w:r>
        <w:rPr>
          <w:rFonts w:ascii="Times New Roman" w:hAnsi="Times New Roman" w:eastAsia="仿宋_GB2312"/>
          <w:color w:val="auto"/>
          <w:sz w:val="21"/>
          <w:szCs w:val="21"/>
          <w:highlight w:val="none"/>
        </w:rPr>
        <w:t xml:space="preserve"> 。</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3.3.5承包人擅自更换主要施工管理人员的违约责任：</w:t>
      </w:r>
      <w:r>
        <w:rPr>
          <w:rFonts w:ascii="Times New Roman" w:hAnsi="Times New Roman" w:eastAsia="仿宋_GB2312"/>
          <w:color w:val="auto"/>
          <w:sz w:val="21"/>
          <w:szCs w:val="21"/>
          <w:highlight w:val="none"/>
          <w:u w:val="single"/>
        </w:rPr>
        <w:t xml:space="preserve">  </w:t>
      </w:r>
      <w:r>
        <w:rPr>
          <w:rFonts w:hint="eastAsia" w:eastAsia="仿宋_GB2312"/>
          <w:color w:val="auto"/>
          <w:sz w:val="21"/>
          <w:szCs w:val="21"/>
          <w:highlight w:val="none"/>
          <w:u w:val="single"/>
          <w:lang w:val="en-US" w:eastAsia="zh-CN"/>
        </w:rPr>
        <w:t xml:space="preserve">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承包人主要施工管理人员擅自离开施工现场的违约责任：</w:t>
      </w:r>
      <w:r>
        <w:rPr>
          <w:rFonts w:ascii="Times New Roman" w:hAnsi="Times New Roman" w:eastAsia="仿宋_GB2312"/>
          <w:color w:val="auto"/>
          <w:sz w:val="21"/>
          <w:szCs w:val="21"/>
          <w:highlight w:val="none"/>
          <w:u w:val="single"/>
        </w:rPr>
        <w:t xml:space="preserve"> </w:t>
      </w:r>
      <w:r>
        <w:rPr>
          <w:rFonts w:hint="eastAsia" w:eastAsia="仿宋_GB2312"/>
          <w:color w:val="auto"/>
          <w:sz w:val="21"/>
          <w:szCs w:val="21"/>
          <w:highlight w:val="none"/>
          <w:u w:val="single"/>
          <w:lang w:val="en-US" w:eastAsia="zh-CN"/>
        </w:rPr>
        <w:t xml:space="preserve">                  </w:t>
      </w:r>
      <w:r>
        <w:rPr>
          <w:rFonts w:ascii="Times New Roman" w:hAnsi="Times New Roman" w:eastAsia="仿宋_GB2312"/>
          <w:color w:val="auto"/>
          <w:sz w:val="21"/>
          <w:szCs w:val="21"/>
          <w:highlight w:val="none"/>
          <w:u w:val="single"/>
        </w:rPr>
        <w:t></w:t>
      </w:r>
      <w:r>
        <w:rPr>
          <w:rFonts w:ascii="Times New Roman" w:hAnsi="Times New Roman" w:eastAsia="仿宋_GB2312"/>
          <w:color w:val="auto"/>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3</w:t>
      </w:r>
      <w:bookmarkStart w:id="406" w:name="_Toc292559869"/>
      <w:bookmarkStart w:id="407" w:name="_Toc296890987"/>
      <w:bookmarkStart w:id="408" w:name="_Toc296503159"/>
      <w:bookmarkStart w:id="409" w:name="_Toc300934945"/>
      <w:bookmarkStart w:id="410" w:name="_Toc296346660"/>
      <w:bookmarkStart w:id="411" w:name="_Toc296347158"/>
      <w:bookmarkStart w:id="412" w:name="_Toc297216151"/>
      <w:bookmarkStart w:id="413" w:name="_Toc304295523"/>
      <w:bookmarkStart w:id="414" w:name="_Toc297120459"/>
      <w:bookmarkStart w:id="415" w:name="_Toc303539102"/>
      <w:bookmarkStart w:id="416" w:name="_Toc297048345"/>
      <w:bookmarkStart w:id="417" w:name="_Toc312677988"/>
      <w:bookmarkStart w:id="418" w:name="_Toc296891199"/>
      <w:bookmarkStart w:id="419" w:name="_Toc297123492"/>
      <w:bookmarkStart w:id="420" w:name="_Toc296944498"/>
      <w:bookmarkStart w:id="421" w:name="_Toc292559364"/>
      <w:r>
        <w:rPr>
          <w:rFonts w:ascii="Times New Roman" w:hAnsi="Times New Roman" w:eastAsia="黑体"/>
          <w:color w:val="auto"/>
          <w:sz w:val="21"/>
          <w:szCs w:val="21"/>
          <w:highlight w:val="none"/>
        </w:rPr>
        <w:t>.5 分包</w:t>
      </w:r>
    </w:p>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3</w:t>
      </w:r>
      <w:bookmarkStart w:id="422" w:name="_Toc296890988"/>
      <w:bookmarkStart w:id="423" w:name="_Toc297120460"/>
      <w:bookmarkStart w:id="424" w:name="_Toc292559870"/>
      <w:bookmarkStart w:id="425" w:name="_Toc296346661"/>
      <w:bookmarkStart w:id="426" w:name="_Toc296944499"/>
      <w:bookmarkStart w:id="427" w:name="_Toc303539103"/>
      <w:bookmarkStart w:id="428" w:name="_Toc300934946"/>
      <w:bookmarkStart w:id="429" w:name="_Toc292559365"/>
      <w:bookmarkStart w:id="430" w:name="_Toc296891200"/>
      <w:bookmarkStart w:id="431" w:name="_Toc296347159"/>
      <w:bookmarkStart w:id="432" w:name="_Toc304295524"/>
      <w:bookmarkStart w:id="433" w:name="_Toc297216152"/>
      <w:bookmarkStart w:id="434" w:name="_Toc297123493"/>
      <w:bookmarkStart w:id="435" w:name="_Toc297048346"/>
      <w:bookmarkStart w:id="436" w:name="_Toc296503160"/>
      <w:bookmarkStart w:id="437" w:name="_Toc318581158"/>
      <w:bookmarkStart w:id="438" w:name="_Toc312677989"/>
      <w:r>
        <w:rPr>
          <w:rFonts w:ascii="Times New Roman" w:hAnsi="Times New Roman" w:eastAsia="仿宋_GB2312"/>
          <w:color w:val="auto"/>
          <w:sz w:val="21"/>
          <w:szCs w:val="21"/>
          <w:highlight w:val="none"/>
        </w:rPr>
        <w:t>.5.1 分包的一般约定</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禁止分包的工程包括：</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hint="eastAsia" w:eastAsia="仿宋_GB2312"/>
          <w:color w:val="auto"/>
          <w:sz w:val="21"/>
          <w:szCs w:val="21"/>
          <w:highlight w:val="none"/>
          <w:u w:val="single"/>
          <w:lang w:val="en-US" w:eastAsia="zh-CN"/>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eastAsia="仿宋_GB2312"/>
          <w:color w:val="auto"/>
          <w:sz w:val="21"/>
          <w:szCs w:val="21"/>
          <w:highlight w:val="none"/>
          <w:u w:val="single"/>
          <w:lang w:val="en-US" w:eastAsia="zh-CN"/>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主体结构、关键性工作的范围：</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Start w:id="439" w:name="_Toc303539104"/>
      <w:bookmarkStart w:id="440" w:name="_Toc296944500"/>
      <w:bookmarkStart w:id="441" w:name="_Toc297123494"/>
      <w:bookmarkStart w:id="442" w:name="_Toc296891201"/>
      <w:bookmarkStart w:id="443" w:name="_Toc296347160"/>
      <w:bookmarkStart w:id="444" w:name="_Toc300934947"/>
      <w:bookmarkStart w:id="445" w:name="_Toc296346662"/>
      <w:bookmarkStart w:id="446" w:name="_Toc304295525"/>
      <w:bookmarkStart w:id="447" w:name="_Toc297120461"/>
      <w:bookmarkStart w:id="448" w:name="_Toc297048347"/>
      <w:bookmarkStart w:id="449" w:name="_Toc297216153"/>
      <w:bookmarkStart w:id="450" w:name="_Toc296503161"/>
      <w:bookmarkStart w:id="451" w:name="_Toc296890989"/>
    </w:p>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Pr>
        <w:spacing w:line="360" w:lineRule="auto"/>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 xml:space="preserve">    3</w:t>
      </w:r>
      <w:bookmarkStart w:id="452" w:name="_Toc318581159"/>
      <w:bookmarkStart w:id="453" w:name="_Toc312677990"/>
      <w:r>
        <w:rPr>
          <w:rFonts w:ascii="Times New Roman" w:hAnsi="Times New Roman" w:eastAsia="仿宋_GB2312"/>
          <w:color w:val="auto"/>
          <w:sz w:val="21"/>
          <w:szCs w:val="21"/>
          <w:highlight w:val="none"/>
        </w:rPr>
        <w:t>.5.2分包的确定</w:t>
      </w:r>
    </w:p>
    <w:p>
      <w:pPr>
        <w:spacing w:line="360" w:lineRule="auto"/>
        <w:ind w:firstLine="420" w:firstLineChars="200"/>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允许分包的专业工程包括：</w:t>
      </w:r>
      <w:r>
        <w:rPr>
          <w:rFonts w:ascii="Times New Roman" w:hAnsi="Times New Roman" w:eastAsia="仿宋_GB2312"/>
          <w:color w:val="auto"/>
          <w:sz w:val="21"/>
          <w:szCs w:val="21"/>
          <w:highlight w:val="none"/>
          <w:u w:val="single"/>
        </w:rPr>
        <w:t xml:space="preserve">                    </w:t>
      </w:r>
      <w:r>
        <w:rPr>
          <w:rFonts w:hint="eastAsia" w:eastAsia="仿宋_GB2312"/>
          <w:color w:val="auto"/>
          <w:sz w:val="21"/>
          <w:szCs w:val="21"/>
          <w:highlight w:val="none"/>
          <w:u w:val="single"/>
          <w:lang w:val="en-US" w:eastAsia="zh-CN"/>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其他关于分包的约定：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3.5.4 分包合同价款</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关于分包合同价款支付的约定：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bookmarkEnd w:id="452"/>
    <w:bookmarkEnd w:id="453"/>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3.6 工程照管与成品、半成品保护</w:t>
      </w:r>
    </w:p>
    <w:p>
      <w:pPr>
        <w:spacing w:before="120" w:after="120" w:line="360" w:lineRule="auto"/>
        <w:ind w:firstLine="420" w:firstLineChars="200"/>
        <w:rPr>
          <w:rFonts w:ascii="Times New Roman" w:hAnsi="Times New Roman" w:eastAsia="仿宋_GB2312"/>
          <w:color w:val="auto"/>
          <w:kern w:val="0"/>
          <w:sz w:val="21"/>
          <w:szCs w:val="21"/>
          <w:highlight w:val="none"/>
          <w:u w:val="single"/>
        </w:rPr>
      </w:pPr>
      <w:r>
        <w:rPr>
          <w:rFonts w:ascii="Times New Roman" w:hAnsi="Times New Roman" w:eastAsia="仿宋_GB2312"/>
          <w:color w:val="auto"/>
          <w:kern w:val="0"/>
          <w:sz w:val="21"/>
          <w:szCs w:val="21"/>
          <w:highlight w:val="none"/>
        </w:rPr>
        <w:t>承包人负责照管工程及工程相关的材料、工程设备的起始时间：</w:t>
      </w:r>
      <w:r>
        <w:rPr>
          <w:rFonts w:hint="eastAsia" w:eastAsia="仿宋_GB2312"/>
          <w:color w:val="auto"/>
          <w:kern w:val="0"/>
          <w:sz w:val="21"/>
          <w:szCs w:val="21"/>
          <w:highlight w:val="none"/>
          <w:u w:val="single"/>
          <w:lang w:val="en-US" w:eastAsia="zh-CN"/>
        </w:rPr>
        <w:t xml:space="preserve">                   </w:t>
      </w:r>
      <w:r>
        <w:rPr>
          <w:rFonts w:ascii="Times New Roman" w:hAnsi="Times New Roman" w:eastAsia="仿宋_GB2312"/>
          <w:color w:val="auto"/>
          <w:kern w:val="0"/>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3.7 履约担保</w:t>
      </w:r>
    </w:p>
    <w:p>
      <w:pPr>
        <w:spacing w:line="360" w:lineRule="auto"/>
        <w:ind w:firstLine="420" w:firstLineChars="200"/>
        <w:jc w:val="left"/>
        <w:rPr>
          <w:rFonts w:hint="eastAsia" w:ascii="Times New Roman" w:hAnsi="Times New Roman" w:eastAsia="仿宋_GB2312"/>
          <w:color w:val="auto"/>
          <w:sz w:val="21"/>
          <w:szCs w:val="21"/>
          <w:highlight w:val="none"/>
        </w:rPr>
      </w:pPr>
      <w:r>
        <w:rPr>
          <w:rFonts w:hint="eastAsia" w:ascii="Times New Roman" w:hAnsi="Times New Roman" w:eastAsia="仿宋_GB2312"/>
          <w:color w:val="auto"/>
          <w:sz w:val="21"/>
          <w:szCs w:val="21"/>
          <w:highlight w:val="none"/>
        </w:rPr>
        <w:t>承包人是否提供履约担保：</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承包人提供履约担保的形式</w:t>
      </w:r>
      <w:r>
        <w:rPr>
          <w:rFonts w:hint="eastAsia" w:ascii="Times New Roman" w:hAnsi="Times New Roman" w:eastAsia="仿宋_GB2312"/>
          <w:color w:val="auto"/>
          <w:sz w:val="21"/>
          <w:szCs w:val="21"/>
          <w:highlight w:val="none"/>
        </w:rPr>
        <w:t>、金额及期限的</w:t>
      </w:r>
      <w:r>
        <w:rPr>
          <w:rFonts w:ascii="Times New Roman" w:hAnsi="Times New Roman" w:eastAsia="仿宋_GB2312"/>
          <w:color w:val="auto"/>
          <w:sz w:val="21"/>
          <w:szCs w:val="21"/>
          <w:highlight w:val="none"/>
        </w:rPr>
        <w:t>：</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pStyle w:val="11"/>
        <w:spacing w:before="120" w:after="120" w:line="360" w:lineRule="auto"/>
        <w:rPr>
          <w:rFonts w:ascii="Times New Roman" w:hAnsi="Times New Roman" w:eastAsia="黑体"/>
          <w:b w:val="0"/>
          <w:color w:val="auto"/>
          <w:sz w:val="21"/>
          <w:szCs w:val="21"/>
          <w:highlight w:val="none"/>
        </w:rPr>
      </w:pPr>
      <w:bookmarkStart w:id="454" w:name="_Toc351203636"/>
      <w:r>
        <w:rPr>
          <w:rFonts w:ascii="Times New Roman" w:hAnsi="Times New Roman" w:eastAsia="黑体"/>
          <w:b w:val="0"/>
          <w:color w:val="auto"/>
          <w:sz w:val="21"/>
          <w:szCs w:val="21"/>
          <w:highlight w:val="none"/>
        </w:rPr>
        <w:t>4</w:t>
      </w:r>
      <w:bookmarkStart w:id="455" w:name="_Toc267251413"/>
      <w:bookmarkStart w:id="456" w:name="_Toc296346663"/>
      <w:bookmarkStart w:id="457" w:name="_Toc292559871"/>
      <w:bookmarkStart w:id="458" w:name="_Toc296503162"/>
      <w:bookmarkStart w:id="459" w:name="_Toc297048348"/>
      <w:bookmarkStart w:id="460" w:name="_Toc297120462"/>
      <w:bookmarkStart w:id="461" w:name="_Toc296890990"/>
      <w:bookmarkStart w:id="462" w:name="_Toc296347161"/>
      <w:bookmarkStart w:id="463" w:name="_Toc296944501"/>
      <w:bookmarkStart w:id="464" w:name="_Toc296891202"/>
      <w:bookmarkStart w:id="465" w:name="_Toc292559366"/>
      <w:r>
        <w:rPr>
          <w:rFonts w:ascii="Times New Roman" w:hAnsi="Times New Roman" w:eastAsia="黑体"/>
          <w:b w:val="0"/>
          <w:color w:val="auto"/>
          <w:sz w:val="21"/>
          <w:szCs w:val="21"/>
          <w:highlight w:val="none"/>
        </w:rPr>
        <w:t>. 监</w:t>
      </w:r>
      <w:bookmarkEnd w:id="455"/>
      <w:bookmarkEnd w:id="456"/>
      <w:bookmarkEnd w:id="457"/>
      <w:bookmarkEnd w:id="458"/>
      <w:bookmarkEnd w:id="459"/>
      <w:bookmarkEnd w:id="460"/>
      <w:bookmarkEnd w:id="461"/>
      <w:bookmarkEnd w:id="462"/>
      <w:bookmarkEnd w:id="463"/>
      <w:bookmarkEnd w:id="464"/>
      <w:bookmarkEnd w:id="465"/>
      <w:r>
        <w:rPr>
          <w:rFonts w:ascii="Times New Roman" w:hAnsi="Times New Roman" w:eastAsia="黑体"/>
          <w:b w:val="0"/>
          <w:color w:val="auto"/>
          <w:sz w:val="21"/>
          <w:szCs w:val="21"/>
          <w:highlight w:val="none"/>
        </w:rPr>
        <w:t>理人</w:t>
      </w:r>
      <w:bookmarkEnd w:id="454"/>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4.1监理人的一般规定</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关于监理人的监理内容：</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关于监理人的监理权限：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 xml:space="preserve">。 </w:t>
      </w:r>
    </w:p>
    <w:p>
      <w:pPr>
        <w:spacing w:line="360" w:lineRule="auto"/>
        <w:ind w:firstLine="420" w:firstLineChars="200"/>
        <w:rPr>
          <w:rFonts w:hint="eastAsia"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关于监理人在施工现场的办公场所、生活场所的提供和费用承担的约定：</w:t>
      </w:r>
      <w:r>
        <w:rPr>
          <w:rFonts w:hint="eastAsia" w:eastAsia="仿宋_GB2312"/>
          <w:color w:val="auto"/>
          <w:sz w:val="21"/>
          <w:szCs w:val="21"/>
          <w:highlight w:val="none"/>
          <w:u w:val="single"/>
          <w:lang w:val="en-US" w:eastAsia="zh-CN"/>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4.2 监理人员</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总监理工程师：</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姓    名：</w:t>
      </w:r>
      <w:r>
        <w:rPr>
          <w:rFonts w:ascii="Times New Roman" w:hAnsi="Times New Roman" w:eastAsia="仿宋_GB2312"/>
          <w:color w:val="auto"/>
          <w:sz w:val="21"/>
          <w:szCs w:val="21"/>
          <w:highlight w:val="none"/>
          <w:u w:val="single"/>
        </w:rPr>
        <w:t>  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职    务：</w:t>
      </w:r>
      <w:r>
        <w:rPr>
          <w:rFonts w:ascii="Times New Roman" w:hAnsi="Times New Roman" w:eastAsia="仿宋_GB2312"/>
          <w:color w:val="auto"/>
          <w:sz w:val="21"/>
          <w:szCs w:val="21"/>
          <w:highlight w:val="none"/>
          <w:u w:val="single"/>
        </w:rPr>
        <w:t>  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监理工程师执业资格证书号：</w:t>
      </w:r>
      <w:r>
        <w:rPr>
          <w:rFonts w:ascii="Times New Roman" w:hAnsi="Times New Roman" w:eastAsia="仿宋_GB2312"/>
          <w:color w:val="auto"/>
          <w:sz w:val="21"/>
          <w:szCs w:val="21"/>
          <w:highlight w:val="none"/>
          <w:u w:val="single"/>
        </w:rPr>
        <w:t>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联系电话：</w:t>
      </w:r>
      <w:r>
        <w:rPr>
          <w:rFonts w:ascii="Times New Roman" w:hAnsi="Times New Roman" w:eastAsia="仿宋_GB2312"/>
          <w:color w:val="auto"/>
          <w:sz w:val="21"/>
          <w:szCs w:val="21"/>
          <w:highlight w:val="none"/>
          <w:u w:val="single"/>
        </w:rPr>
        <w:t>  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电子信箱：</w:t>
      </w:r>
      <w:r>
        <w:rPr>
          <w:rFonts w:ascii="Times New Roman" w:hAnsi="Times New Roman" w:eastAsia="仿宋_GB2312"/>
          <w:color w:val="auto"/>
          <w:sz w:val="21"/>
          <w:szCs w:val="21"/>
          <w:highlight w:val="none"/>
          <w:u w:val="single"/>
        </w:rPr>
        <w:t>  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通信地址：</w:t>
      </w:r>
      <w:r>
        <w:rPr>
          <w:rFonts w:ascii="Times New Roman" w:hAnsi="Times New Roman" w:eastAsia="仿宋_GB2312"/>
          <w:color w:val="auto"/>
          <w:sz w:val="21"/>
          <w:szCs w:val="21"/>
          <w:highlight w:val="none"/>
          <w:u w:val="single"/>
        </w:rPr>
        <w:t>   </w:t>
      </w:r>
      <w:r>
        <w:rPr>
          <w:rFonts w:ascii="Times New Roman" w:hAnsi="Times New Roman" w:eastAsia="仿宋_GB2312"/>
          <w:color w:val="auto"/>
          <w:sz w:val="21"/>
          <w:szCs w:val="21"/>
          <w:highlight w:val="none"/>
        </w:rPr>
        <w:t>；</w:t>
      </w:r>
    </w:p>
    <w:p>
      <w:pPr>
        <w:spacing w:line="360" w:lineRule="auto"/>
        <w:ind w:firstLine="420" w:firstLineChars="20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关于监理人的其他约定：</w:t>
      </w:r>
      <w:r>
        <w:rPr>
          <w:rFonts w:ascii="Times New Roman" w:hAnsi="Times New Roman" w:eastAsia="仿宋_GB2312"/>
          <w:color w:val="auto"/>
          <w:sz w:val="21"/>
          <w:szCs w:val="21"/>
          <w:highlight w:val="none"/>
          <w:u w:val="single"/>
        </w:rPr>
        <w:t>   </w:t>
      </w:r>
      <w:r>
        <w:rPr>
          <w:rFonts w:ascii="Times New Roman" w:hAnsi="Times New Roman" w:eastAsia="仿宋_GB2312"/>
          <w:color w:val="auto"/>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4.4 商定或确定</w:t>
      </w:r>
    </w:p>
    <w:p>
      <w:pPr>
        <w:spacing w:line="360" w:lineRule="auto"/>
        <w:ind w:firstLine="420" w:firstLineChars="200"/>
        <w:rPr>
          <w:rFonts w:ascii="Times New Roman" w:hAnsi="Times New Roman" w:eastAsia="仿宋_GB2312"/>
          <w:color w:val="auto"/>
          <w:sz w:val="21"/>
          <w:szCs w:val="21"/>
          <w:highlight w:val="none"/>
        </w:rPr>
      </w:pPr>
      <w:bookmarkStart w:id="466" w:name="_Toc267251418"/>
      <w:r>
        <w:rPr>
          <w:rFonts w:ascii="Times New Roman" w:hAnsi="Times New Roman" w:eastAsia="仿宋_GB2312"/>
          <w:color w:val="auto"/>
          <w:sz w:val="21"/>
          <w:szCs w:val="21"/>
          <w:highlight w:val="none"/>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（1）</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autoSpaceDE w:val="0"/>
        <w:autoSpaceDN w:val="0"/>
        <w:adjustRightInd w:val="0"/>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（2）</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autoSpaceDE w:val="0"/>
        <w:autoSpaceDN w:val="0"/>
        <w:adjustRightInd w:val="0"/>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（3）</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pStyle w:val="11"/>
        <w:spacing w:before="120" w:after="120" w:line="360" w:lineRule="auto"/>
        <w:rPr>
          <w:rFonts w:ascii="Times New Roman" w:hAnsi="Times New Roman" w:eastAsia="黑体"/>
          <w:b w:val="0"/>
          <w:color w:val="auto"/>
          <w:sz w:val="21"/>
          <w:szCs w:val="21"/>
          <w:highlight w:val="none"/>
        </w:rPr>
      </w:pPr>
      <w:bookmarkStart w:id="467" w:name="_Toc351203637"/>
      <w:r>
        <w:rPr>
          <w:rFonts w:ascii="Times New Roman" w:hAnsi="Times New Roman" w:eastAsia="黑体"/>
          <w:b w:val="0"/>
          <w:color w:val="auto"/>
          <w:sz w:val="21"/>
          <w:szCs w:val="21"/>
          <w:highlight w:val="none"/>
        </w:rPr>
        <w:t>5</w:t>
      </w:r>
      <w:bookmarkEnd w:id="466"/>
      <w:bookmarkStart w:id="468" w:name="_Toc296890991"/>
      <w:bookmarkStart w:id="469" w:name="_Toc296944502"/>
      <w:bookmarkStart w:id="470" w:name="_Toc292559872"/>
      <w:bookmarkStart w:id="471" w:name="_Toc296891203"/>
      <w:bookmarkStart w:id="472" w:name="_Toc296347162"/>
      <w:bookmarkStart w:id="473" w:name="_Toc292559367"/>
      <w:bookmarkStart w:id="474" w:name="_Toc297120463"/>
      <w:bookmarkStart w:id="475" w:name="_Toc297048349"/>
      <w:bookmarkStart w:id="476" w:name="_Toc296346664"/>
      <w:bookmarkStart w:id="477" w:name="_Toc296503163"/>
      <w:r>
        <w:rPr>
          <w:rFonts w:ascii="Times New Roman" w:hAnsi="Times New Roman" w:eastAsia="黑体"/>
          <w:b w:val="0"/>
          <w:color w:val="auto"/>
          <w:sz w:val="21"/>
          <w:szCs w:val="21"/>
          <w:highlight w:val="none"/>
        </w:rPr>
        <w:t>. 工程质量</w:t>
      </w:r>
      <w:bookmarkEnd w:id="467"/>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5.1 质量要求</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5</w:t>
      </w:r>
      <w:bookmarkStart w:id="478" w:name="_Toc318581164"/>
      <w:bookmarkStart w:id="479" w:name="_Toc297123496"/>
      <w:bookmarkStart w:id="480" w:name="_Toc312677997"/>
      <w:bookmarkStart w:id="481" w:name="_Toc300934949"/>
      <w:bookmarkStart w:id="482" w:name="_Toc297216155"/>
      <w:bookmarkStart w:id="483" w:name="_Toc303539106"/>
      <w:bookmarkStart w:id="484" w:name="_Toc304295527"/>
      <w:r>
        <w:rPr>
          <w:rFonts w:ascii="Times New Roman" w:hAnsi="Times New Roman" w:eastAsia="仿宋_GB2312"/>
          <w:color w:val="auto"/>
          <w:sz w:val="21"/>
          <w:szCs w:val="21"/>
          <w:highlight w:val="none"/>
        </w:rPr>
        <w:t>.1.1 特殊质量标准和要求：</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关于工程奖项的约定：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hint="eastAsia" w:ascii="Times New Roman" w:hAnsi="Times New Roman" w:eastAsia="黑体"/>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5.3 隐蔽工程检查</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5.3.2承包人提前通知监理人隐蔽工程检查的期限的约定：</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监理人不能按时进行检查时，应提前</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小时提交书面延期要求。</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关于延期最长不得超过：</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小时。</w:t>
      </w:r>
    </w:p>
    <w:p>
      <w:pPr>
        <w:pStyle w:val="11"/>
        <w:spacing w:before="120" w:after="120" w:line="360" w:lineRule="auto"/>
        <w:rPr>
          <w:rFonts w:ascii="Times New Roman" w:hAnsi="Times New Roman" w:eastAsia="黑体"/>
          <w:b w:val="0"/>
          <w:color w:val="auto"/>
          <w:sz w:val="21"/>
          <w:szCs w:val="21"/>
          <w:highlight w:val="none"/>
        </w:rPr>
      </w:pPr>
      <w:bookmarkStart w:id="485" w:name="_Toc351203638"/>
      <w:r>
        <w:rPr>
          <w:rFonts w:ascii="Times New Roman" w:hAnsi="Times New Roman" w:eastAsia="黑体"/>
          <w:b w:val="0"/>
          <w:color w:val="auto"/>
          <w:sz w:val="21"/>
          <w:szCs w:val="21"/>
          <w:highlight w:val="none"/>
        </w:rPr>
        <w:t>6. 安全文明施工与环境保护</w:t>
      </w:r>
      <w:bookmarkEnd w:id="485"/>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6.1安全文明施工</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6.1.1 项目安全生产的达标目标及相应事项的约定：</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6.1.4 关于治安保卫的特别约定：</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hint="eastAsia" w:ascii="Times New Roman" w:hAnsi="Times New Roman" w:eastAsia="仿宋_GB2312"/>
          <w:color w:val="auto"/>
          <w:sz w:val="21"/>
          <w:szCs w:val="21"/>
          <w:highlight w:val="none"/>
          <w:u w:val="single"/>
          <w:lang w:eastAsia="zh-CN"/>
        </w:rPr>
      </w:pPr>
      <w:r>
        <w:rPr>
          <w:rFonts w:ascii="Times New Roman" w:hAnsi="Times New Roman" w:eastAsia="仿宋_GB2312"/>
          <w:color w:val="auto"/>
          <w:sz w:val="21"/>
          <w:szCs w:val="21"/>
          <w:highlight w:val="none"/>
        </w:rPr>
        <w:t>关于编制施工场地治安管理计划的约定：</w:t>
      </w:r>
      <w:r>
        <w:rPr>
          <w:rFonts w:ascii="Times New Roman" w:hAnsi="Times New Roman" w:eastAsia="仿宋_GB2312"/>
          <w:color w:val="auto"/>
          <w:sz w:val="21"/>
          <w:szCs w:val="21"/>
          <w:highlight w:val="none"/>
          <w:u w:val="single"/>
        </w:rPr>
        <w:t xml:space="preserve">                  </w:t>
      </w:r>
    </w:p>
    <w:p>
      <w:pPr>
        <w:spacing w:line="360" w:lineRule="auto"/>
        <w:ind w:firstLine="420" w:firstLineChars="200"/>
        <w:jc w:val="left"/>
        <w:rPr>
          <w:rFonts w:hint="eastAsia"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hint="eastAsia" w:ascii="Times New Roman" w:hAnsi="Times New Roman" w:eastAsia="仿宋_GB2312"/>
          <w:color w:val="auto"/>
          <w:sz w:val="21"/>
          <w:szCs w:val="21"/>
          <w:highlight w:val="none"/>
        </w:rPr>
      </w:pPr>
      <w:r>
        <w:rPr>
          <w:rFonts w:hint="eastAsia" w:ascii="Times New Roman" w:hAnsi="Times New Roman" w:eastAsia="仿宋_GB2312"/>
          <w:color w:val="auto"/>
          <w:sz w:val="21"/>
          <w:szCs w:val="21"/>
          <w:highlight w:val="none"/>
        </w:rPr>
        <w:t>6.1.5 文明施工</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hint="eastAsia" w:ascii="Times New Roman" w:hAnsi="Times New Roman" w:eastAsia="仿宋_GB2312"/>
          <w:color w:val="auto"/>
          <w:sz w:val="21"/>
          <w:szCs w:val="21"/>
          <w:highlight w:val="none"/>
        </w:rPr>
        <w:t>合同当事人对文明施工的要求：</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hint="eastAsia"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rPr>
        <w:t>。</w:t>
      </w:r>
    </w:p>
    <w:p>
      <w:pPr>
        <w:spacing w:line="360" w:lineRule="auto"/>
        <w:ind w:firstLine="420" w:firstLineChars="200"/>
        <w:jc w:val="left"/>
        <w:rPr>
          <w:rFonts w:hint="eastAsia"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6.1.6 关于安全文明施工费支付比例和支付期限的约定：</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bookmarkEnd w:id="478"/>
    <w:bookmarkEnd w:id="479"/>
    <w:bookmarkEnd w:id="480"/>
    <w:bookmarkEnd w:id="481"/>
    <w:bookmarkEnd w:id="482"/>
    <w:bookmarkEnd w:id="483"/>
    <w:bookmarkEnd w:id="484"/>
    <w:p>
      <w:pPr>
        <w:pStyle w:val="11"/>
        <w:spacing w:before="120" w:after="120" w:line="360" w:lineRule="auto"/>
        <w:rPr>
          <w:rFonts w:ascii="Times New Roman" w:hAnsi="Times New Roman" w:eastAsia="黑体"/>
          <w:b w:val="0"/>
          <w:color w:val="auto"/>
          <w:sz w:val="21"/>
          <w:szCs w:val="21"/>
          <w:highlight w:val="none"/>
        </w:rPr>
      </w:pPr>
      <w:bookmarkStart w:id="486" w:name="_Toc351203639"/>
      <w:r>
        <w:rPr>
          <w:rFonts w:ascii="Times New Roman" w:hAnsi="Times New Roman" w:eastAsia="黑体"/>
          <w:b w:val="0"/>
          <w:color w:val="auto"/>
          <w:sz w:val="21"/>
          <w:szCs w:val="21"/>
          <w:highlight w:val="none"/>
        </w:rPr>
        <w:t>7. 工期和进度</w:t>
      </w:r>
      <w:bookmarkEnd w:id="486"/>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7.1 施工组织设计</w:t>
      </w:r>
    </w:p>
    <w:p>
      <w:pPr>
        <w:autoSpaceDE w:val="0"/>
        <w:autoSpaceDN w:val="0"/>
        <w:adjustRightInd w:val="0"/>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7.1.</w:t>
      </w:r>
      <w:r>
        <w:rPr>
          <w:rFonts w:hint="eastAsia" w:ascii="Times New Roman" w:hAnsi="Times New Roman" w:eastAsia="仿宋_GB2312"/>
          <w:color w:val="auto"/>
          <w:sz w:val="21"/>
          <w:szCs w:val="21"/>
          <w:highlight w:val="none"/>
        </w:rPr>
        <w:t>1 合</w:t>
      </w:r>
      <w:r>
        <w:rPr>
          <w:rFonts w:hint="eastAsia" w:ascii="Times New Roman" w:hAnsi="Times New Roman" w:eastAsia="仿宋_GB2312"/>
          <w:color w:val="auto"/>
          <w:kern w:val="0"/>
          <w:sz w:val="21"/>
          <w:szCs w:val="21"/>
          <w:highlight w:val="none"/>
        </w:rPr>
        <w:t>同当事人约定的</w:t>
      </w:r>
      <w:r>
        <w:rPr>
          <w:rFonts w:ascii="Times New Roman" w:hAnsi="Times New Roman" w:eastAsia="仿宋_GB2312"/>
          <w:color w:val="auto"/>
          <w:kern w:val="0"/>
          <w:sz w:val="21"/>
          <w:szCs w:val="21"/>
          <w:highlight w:val="none"/>
        </w:rPr>
        <w:t>施工组织设计</w:t>
      </w:r>
      <w:r>
        <w:rPr>
          <w:rFonts w:hint="eastAsia" w:ascii="Times New Roman" w:hAnsi="Times New Roman" w:eastAsia="仿宋_GB2312"/>
          <w:color w:val="auto"/>
          <w:kern w:val="0"/>
          <w:sz w:val="21"/>
          <w:szCs w:val="21"/>
          <w:highlight w:val="none"/>
        </w:rPr>
        <w:t>应包括的其他内容</w:t>
      </w:r>
      <w:r>
        <w:rPr>
          <w:rFonts w:ascii="Times New Roman" w:hAnsi="Times New Roman" w:eastAsia="仿宋_GB2312"/>
          <w:color w:val="auto"/>
          <w:kern w:val="0"/>
          <w:sz w:val="21"/>
          <w:szCs w:val="21"/>
          <w:highlight w:val="none"/>
        </w:rPr>
        <w:t>：</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p>
    <w:p>
      <w:pPr>
        <w:autoSpaceDE w:val="0"/>
        <w:autoSpaceDN w:val="0"/>
        <w:adjustRightInd w:val="0"/>
        <w:spacing w:line="360" w:lineRule="auto"/>
        <w:jc w:val="left"/>
        <w:rPr>
          <w:rFonts w:ascii="Times New Roman" w:hAnsi="Times New Roman" w:eastAsia="仿宋_GB2312"/>
          <w:color w:val="auto"/>
          <w:kern w:val="0"/>
          <w:sz w:val="21"/>
          <w:szCs w:val="21"/>
          <w:highlight w:val="none"/>
        </w:rPr>
      </w:pP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autoSpaceDE w:val="0"/>
        <w:autoSpaceDN w:val="0"/>
        <w:adjustRightInd w:val="0"/>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sz w:val="21"/>
          <w:szCs w:val="21"/>
          <w:highlight w:val="none"/>
        </w:rPr>
        <w:t xml:space="preserve">7.1.2 </w:t>
      </w:r>
      <w:r>
        <w:rPr>
          <w:rFonts w:ascii="Times New Roman" w:hAnsi="Times New Roman" w:eastAsia="仿宋_GB2312"/>
          <w:color w:val="auto"/>
          <w:kern w:val="0"/>
          <w:sz w:val="21"/>
          <w:szCs w:val="21"/>
          <w:highlight w:val="none"/>
        </w:rPr>
        <w:t>施工组织设计的提交和修改</w:t>
      </w:r>
    </w:p>
    <w:p>
      <w:pPr>
        <w:autoSpaceDE w:val="0"/>
        <w:autoSpaceDN w:val="0"/>
        <w:adjustRightInd w:val="0"/>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kern w:val="0"/>
          <w:sz w:val="21"/>
          <w:szCs w:val="21"/>
          <w:highlight w:val="none"/>
        </w:rPr>
        <w:t>承包人提交详细施工组织设计的期限的约定：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p>
    <w:p>
      <w:pPr>
        <w:autoSpaceDE w:val="0"/>
        <w:autoSpaceDN w:val="0"/>
        <w:adjustRightInd w:val="0"/>
        <w:spacing w:line="360" w:lineRule="auto"/>
        <w:jc w:val="left"/>
        <w:rPr>
          <w:rFonts w:hint="eastAsia" w:ascii="Times New Roman" w:hAnsi="Times New Roman" w:eastAsia="仿宋_GB2312"/>
          <w:color w:val="auto"/>
          <w:sz w:val="21"/>
          <w:szCs w:val="21"/>
          <w:highlight w:val="none"/>
        </w:rPr>
      </w:pP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发包人和监理人在收到</w:t>
      </w:r>
      <w:r>
        <w:rPr>
          <w:rFonts w:hint="eastAsia" w:ascii="Times New Roman" w:hAnsi="Times New Roman" w:eastAsia="仿宋_GB2312"/>
          <w:color w:val="auto"/>
          <w:sz w:val="21"/>
          <w:szCs w:val="21"/>
          <w:highlight w:val="none"/>
        </w:rPr>
        <w:t>详细的施工组织设计</w:t>
      </w:r>
      <w:r>
        <w:rPr>
          <w:rFonts w:ascii="Times New Roman" w:hAnsi="Times New Roman" w:eastAsia="仿宋_GB2312"/>
          <w:color w:val="auto"/>
          <w:sz w:val="21"/>
          <w:szCs w:val="21"/>
          <w:highlight w:val="none"/>
        </w:rPr>
        <w:t>后确认或提出修改意见的期限：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7</w:t>
      </w:r>
      <w:bookmarkStart w:id="487" w:name="_Toc297216173"/>
      <w:bookmarkStart w:id="488" w:name="_Toc312678005"/>
      <w:bookmarkStart w:id="489" w:name="_Toc312677479"/>
      <w:bookmarkStart w:id="490" w:name="_Toc303539123"/>
      <w:bookmarkStart w:id="491" w:name="_Toc297123514"/>
      <w:bookmarkStart w:id="492" w:name="_Toc304295541"/>
      <w:bookmarkStart w:id="493" w:name="_Toc300934966"/>
      <w:r>
        <w:rPr>
          <w:rFonts w:ascii="Times New Roman" w:hAnsi="Times New Roman" w:eastAsia="黑体"/>
          <w:color w:val="auto"/>
          <w:sz w:val="21"/>
          <w:szCs w:val="21"/>
          <w:highlight w:val="none"/>
        </w:rPr>
        <w:t>.2 施工进度计划</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7.2.2 施工进度计划的修订</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发包人和监理人在收到修订的施工进度计划后确认或提出修改意见的期限：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7.3 开工</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7.3.1 开工准备</w:t>
      </w:r>
    </w:p>
    <w:p>
      <w:pPr>
        <w:spacing w:line="360" w:lineRule="auto"/>
        <w:ind w:firstLine="645"/>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关于承包人提交</w:t>
      </w:r>
      <w:r>
        <w:rPr>
          <w:rFonts w:ascii="Times New Roman" w:hAnsi="Times New Roman" w:eastAsia="仿宋_GB2312"/>
          <w:color w:val="auto"/>
          <w:kern w:val="0"/>
          <w:sz w:val="21"/>
          <w:szCs w:val="21"/>
          <w:highlight w:val="none"/>
        </w:rPr>
        <w:t>工程开工报审表的期限：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645"/>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关于发包人应完成的其他开工准备工作及期限：</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关于承包人应完成的其他开工准备工作及期限：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7.3.2开工通知</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因发包人原因造成监理人未能在计划开工日期之日起</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天内发出开工通知的，承包人有权提出价格调整要求，或者解除合同。</w:t>
      </w:r>
    </w:p>
    <w:bookmarkEnd w:id="487"/>
    <w:bookmarkEnd w:id="488"/>
    <w:bookmarkEnd w:id="489"/>
    <w:bookmarkEnd w:id="490"/>
    <w:bookmarkEnd w:id="491"/>
    <w:bookmarkEnd w:id="492"/>
    <w:bookmarkEnd w:id="493"/>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7.4 测量放线</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7.4.1发包人通过监理人向承包人提供测量基准点、基准线和水准点及其书面资料的期限：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7</w:t>
      </w:r>
      <w:bookmarkStart w:id="494" w:name="_Toc304295546"/>
      <w:bookmarkStart w:id="495" w:name="_Toc303539125"/>
      <w:bookmarkStart w:id="496" w:name="_Toc297216175"/>
      <w:bookmarkStart w:id="497" w:name="_Toc300934968"/>
      <w:bookmarkStart w:id="498" w:name="_Toc297123516"/>
      <w:bookmarkStart w:id="499" w:name="_Toc312678010"/>
      <w:bookmarkStart w:id="500" w:name="_Toc312677484"/>
      <w:r>
        <w:rPr>
          <w:rFonts w:ascii="Times New Roman" w:hAnsi="Times New Roman" w:eastAsia="黑体"/>
          <w:color w:val="auto"/>
          <w:sz w:val="21"/>
          <w:szCs w:val="21"/>
          <w:highlight w:val="none"/>
        </w:rPr>
        <w:t>.5 工期延误</w:t>
      </w:r>
    </w:p>
    <w:bookmarkEnd w:id="494"/>
    <w:bookmarkEnd w:id="495"/>
    <w:bookmarkEnd w:id="496"/>
    <w:bookmarkEnd w:id="497"/>
    <w:bookmarkEnd w:id="498"/>
    <w:bookmarkEnd w:id="499"/>
    <w:bookmarkEnd w:id="500"/>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7.5.1 因发包人原因导致工期延误</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（7）因发包人原因导致工期延误的其他情形：</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7</w:t>
      </w:r>
      <w:bookmarkStart w:id="501" w:name="_Toc312678012"/>
      <w:bookmarkStart w:id="502" w:name="_Toc318581169"/>
      <w:bookmarkStart w:id="503" w:name="_Toc312677486"/>
      <w:bookmarkStart w:id="504" w:name="_Toc304295548"/>
      <w:bookmarkStart w:id="505" w:name="_Toc300934970"/>
      <w:bookmarkStart w:id="506" w:name="_Toc303539127"/>
      <w:bookmarkStart w:id="507" w:name="_Toc297123518"/>
      <w:bookmarkStart w:id="508" w:name="_Toc297216177"/>
      <w:r>
        <w:rPr>
          <w:rFonts w:ascii="Times New Roman" w:hAnsi="Times New Roman" w:eastAsia="仿宋_GB2312"/>
          <w:color w:val="auto"/>
          <w:sz w:val="21"/>
          <w:szCs w:val="21"/>
          <w:highlight w:val="none"/>
        </w:rPr>
        <w:t>.5.2 因承包人原因导致工期延误</w:t>
      </w:r>
    </w:p>
    <w:bookmarkEnd w:id="501"/>
    <w:bookmarkEnd w:id="502"/>
    <w:bookmarkEnd w:id="503"/>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因</w:t>
      </w:r>
      <w:bookmarkStart w:id="509" w:name="_Toc312677487"/>
      <w:bookmarkStart w:id="510" w:name="_Toc312678013"/>
      <w:bookmarkStart w:id="511" w:name="_Toc318581170"/>
      <w:r>
        <w:rPr>
          <w:rFonts w:ascii="Times New Roman" w:hAnsi="Times New Roman" w:eastAsia="仿宋_GB2312"/>
          <w:color w:val="auto"/>
          <w:sz w:val="21"/>
          <w:szCs w:val="21"/>
          <w:highlight w:val="none"/>
        </w:rPr>
        <w:t>承包人原因造成工期延误，逾期竣工违约金的计算方法为：</w:t>
      </w:r>
      <w:r>
        <w:rPr>
          <w:rFonts w:hint="eastAsia" w:eastAsia="仿宋_GB2312"/>
          <w:color w:val="auto"/>
          <w:sz w:val="21"/>
          <w:szCs w:val="21"/>
          <w:highlight w:val="none"/>
          <w:u w:val="single"/>
          <w:lang w:val="en-US" w:eastAsia="zh-CN"/>
        </w:rPr>
        <w:t xml:space="preserve">    </w:t>
      </w:r>
      <w:r>
        <w:rPr>
          <w:rFonts w:ascii="Times New Roman" w:hAnsi="Times New Roman" w:eastAsia="仿宋_GB2312"/>
          <w:color w:val="auto"/>
          <w:sz w:val="21"/>
          <w:szCs w:val="21"/>
          <w:highlight w:val="none"/>
        </w:rPr>
        <w:t>。</w:t>
      </w:r>
      <w:bookmarkEnd w:id="504"/>
      <w:bookmarkEnd w:id="505"/>
      <w:bookmarkEnd w:id="506"/>
      <w:bookmarkEnd w:id="507"/>
      <w:bookmarkEnd w:id="508"/>
      <w:bookmarkEnd w:id="509"/>
      <w:bookmarkEnd w:id="510"/>
    </w:p>
    <w:bookmarkEnd w:id="511"/>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因承包人原因造成工期延误，逾</w:t>
      </w:r>
      <w:bookmarkStart w:id="512" w:name="_Toc318581171"/>
      <w:bookmarkStart w:id="513" w:name="_Toc312678014"/>
      <w:r>
        <w:rPr>
          <w:rFonts w:ascii="Times New Roman" w:hAnsi="Times New Roman" w:eastAsia="仿宋_GB2312"/>
          <w:color w:val="auto"/>
          <w:sz w:val="21"/>
          <w:szCs w:val="21"/>
          <w:highlight w:val="none"/>
        </w:rPr>
        <w:t>期竣工违约金的上限：</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bookmarkEnd w:id="512"/>
    <w:bookmarkEnd w:id="513"/>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7</w:t>
      </w:r>
      <w:bookmarkStart w:id="514" w:name="_Toc303539128"/>
      <w:bookmarkStart w:id="515" w:name="_Toc297216178"/>
      <w:bookmarkStart w:id="516" w:name="_Toc300934971"/>
      <w:bookmarkStart w:id="517" w:name="_Toc304295549"/>
      <w:bookmarkStart w:id="518" w:name="_Toc297123519"/>
      <w:bookmarkStart w:id="519" w:name="_Toc312678015"/>
      <w:r>
        <w:rPr>
          <w:rFonts w:ascii="Times New Roman" w:hAnsi="Times New Roman" w:eastAsia="黑体"/>
          <w:color w:val="auto"/>
          <w:sz w:val="21"/>
          <w:szCs w:val="21"/>
          <w:highlight w:val="none"/>
        </w:rPr>
        <w:t>.6 不</w:t>
      </w:r>
      <w:bookmarkEnd w:id="514"/>
      <w:bookmarkEnd w:id="515"/>
      <w:bookmarkEnd w:id="516"/>
      <w:bookmarkEnd w:id="517"/>
      <w:bookmarkEnd w:id="518"/>
      <w:bookmarkEnd w:id="519"/>
      <w:r>
        <w:rPr>
          <w:rFonts w:ascii="Times New Roman" w:hAnsi="Times New Roman" w:eastAsia="黑体"/>
          <w:color w:val="auto"/>
          <w:sz w:val="21"/>
          <w:szCs w:val="21"/>
          <w:highlight w:val="none"/>
        </w:rPr>
        <w:t>利物质条件</w:t>
      </w:r>
    </w:p>
    <w:p>
      <w:pPr>
        <w:spacing w:line="360" w:lineRule="auto"/>
        <w:ind w:firstLine="420" w:firstLineChars="200"/>
        <w:jc w:val="left"/>
        <w:rPr>
          <w:rFonts w:ascii="Times New Roman" w:hAnsi="Times New Roman" w:eastAsia="仿宋_GB2312"/>
          <w:color w:val="auto"/>
          <w:sz w:val="21"/>
          <w:szCs w:val="21"/>
          <w:highlight w:val="none"/>
          <w:u w:val="single"/>
        </w:rPr>
      </w:pPr>
      <w:bookmarkStart w:id="520" w:name="_Toc312678016"/>
      <w:bookmarkStart w:id="521" w:name="_Toc297123520"/>
      <w:bookmarkStart w:id="522" w:name="_Toc304295550"/>
      <w:bookmarkStart w:id="523" w:name="_Toc303539129"/>
      <w:bookmarkStart w:id="524" w:name="_Toc300934972"/>
      <w:bookmarkStart w:id="525" w:name="_Toc297216179"/>
      <w:bookmarkStart w:id="526" w:name="_Toc318581172"/>
      <w:r>
        <w:rPr>
          <w:rFonts w:ascii="Times New Roman" w:hAnsi="Times New Roman" w:eastAsia="仿宋_GB2312"/>
          <w:color w:val="auto"/>
          <w:sz w:val="21"/>
          <w:szCs w:val="21"/>
          <w:highlight w:val="none"/>
        </w:rPr>
        <w:t>不利物质条件的其他情形和有关约定：</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bookmarkEnd w:id="520"/>
    <w:bookmarkEnd w:id="521"/>
    <w:bookmarkEnd w:id="522"/>
    <w:bookmarkEnd w:id="523"/>
    <w:bookmarkEnd w:id="524"/>
    <w:bookmarkEnd w:id="525"/>
    <w:bookmarkEnd w:id="526"/>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7</w:t>
      </w:r>
      <w:bookmarkStart w:id="527" w:name="_Toc312678017"/>
      <w:bookmarkStart w:id="528" w:name="_Toc297216180"/>
      <w:bookmarkStart w:id="529" w:name="_Toc304295551"/>
      <w:bookmarkStart w:id="530" w:name="_Toc303539130"/>
      <w:bookmarkStart w:id="531" w:name="_Toc300934973"/>
      <w:bookmarkStart w:id="532" w:name="_Toc297123521"/>
      <w:r>
        <w:rPr>
          <w:rFonts w:ascii="Times New Roman" w:hAnsi="Times New Roman" w:eastAsia="黑体"/>
          <w:color w:val="auto"/>
          <w:sz w:val="21"/>
          <w:szCs w:val="21"/>
          <w:highlight w:val="none"/>
        </w:rPr>
        <w:t>.7异常恶劣的气候条件</w:t>
      </w:r>
    </w:p>
    <w:bookmarkEnd w:id="527"/>
    <w:bookmarkEnd w:id="528"/>
    <w:bookmarkEnd w:id="529"/>
    <w:bookmarkEnd w:id="530"/>
    <w:bookmarkEnd w:id="531"/>
    <w:bookmarkEnd w:id="532"/>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发包人和承包人同意以下情形视为异常恶劣的气候条件：</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（2）</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（3）</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7.9 提前竣工的奖励</w:t>
      </w:r>
    </w:p>
    <w:p>
      <w:pPr>
        <w:spacing w:line="360" w:lineRule="auto"/>
        <w:ind w:firstLine="420" w:firstLineChars="200"/>
        <w:jc w:val="left"/>
        <w:rPr>
          <w:rFonts w:hint="eastAsia"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7.9.2提前竣工的奖励：</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pStyle w:val="11"/>
        <w:spacing w:before="120" w:after="120" w:line="360" w:lineRule="auto"/>
        <w:rPr>
          <w:rFonts w:ascii="Times New Roman" w:hAnsi="Times New Roman" w:eastAsia="黑体"/>
          <w:b w:val="0"/>
          <w:color w:val="auto"/>
          <w:sz w:val="21"/>
          <w:szCs w:val="21"/>
          <w:highlight w:val="none"/>
        </w:rPr>
      </w:pPr>
      <w:bookmarkStart w:id="533" w:name="_Toc351203640"/>
      <w:r>
        <w:rPr>
          <w:rFonts w:ascii="Times New Roman" w:hAnsi="Times New Roman" w:eastAsia="黑体"/>
          <w:b w:val="0"/>
          <w:color w:val="auto"/>
          <w:sz w:val="21"/>
          <w:szCs w:val="21"/>
          <w:highlight w:val="none"/>
        </w:rPr>
        <w:t>8. 材料与设备</w:t>
      </w:r>
      <w:bookmarkEnd w:id="533"/>
    </w:p>
    <w:bookmarkEnd w:id="468"/>
    <w:bookmarkEnd w:id="469"/>
    <w:bookmarkEnd w:id="470"/>
    <w:bookmarkEnd w:id="471"/>
    <w:bookmarkEnd w:id="472"/>
    <w:bookmarkEnd w:id="473"/>
    <w:bookmarkEnd w:id="474"/>
    <w:bookmarkEnd w:id="475"/>
    <w:bookmarkEnd w:id="476"/>
    <w:bookmarkEnd w:id="477"/>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8</w:t>
      </w:r>
      <w:bookmarkStart w:id="534" w:name="_Toc296891207"/>
      <w:bookmarkStart w:id="535" w:name="_Toc297048353"/>
      <w:bookmarkStart w:id="536" w:name="_Toc296347166"/>
      <w:bookmarkStart w:id="537" w:name="_Toc292559877"/>
      <w:bookmarkStart w:id="538" w:name="_Toc292559372"/>
      <w:bookmarkStart w:id="539" w:name="_Toc303539136"/>
      <w:bookmarkStart w:id="540" w:name="_Toc304295556"/>
      <w:bookmarkStart w:id="541" w:name="_Toc297123527"/>
      <w:bookmarkStart w:id="542" w:name="_Toc296346668"/>
      <w:bookmarkStart w:id="543" w:name="_Toc296503167"/>
      <w:bookmarkStart w:id="544" w:name="_Toc300934979"/>
      <w:bookmarkStart w:id="545" w:name="_Toc312678019"/>
      <w:bookmarkStart w:id="546" w:name="_Toc297120467"/>
      <w:bookmarkStart w:id="547" w:name="_Toc297216186"/>
      <w:bookmarkStart w:id="548" w:name="_Toc312677493"/>
      <w:bookmarkStart w:id="549" w:name="_Toc296944506"/>
      <w:bookmarkStart w:id="550" w:name="_Toc296890995"/>
      <w:bookmarkStart w:id="551" w:name="_Toc280868654"/>
      <w:bookmarkStart w:id="552" w:name="_Toc280868655"/>
      <w:bookmarkStart w:id="553" w:name="_Toc267251424"/>
      <w:bookmarkStart w:id="554" w:name="_Toc280868656"/>
      <w:r>
        <w:rPr>
          <w:rFonts w:ascii="Times New Roman" w:hAnsi="Times New Roman" w:eastAsia="黑体"/>
          <w:color w:val="auto"/>
          <w:sz w:val="21"/>
          <w:szCs w:val="21"/>
          <w:highlight w:val="none"/>
        </w:rPr>
        <w:t>.4材料与工程设备的保管与使用</w:t>
      </w:r>
    </w:p>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8</w:t>
      </w:r>
      <w:bookmarkStart w:id="555" w:name="_Toc292559373"/>
      <w:bookmarkStart w:id="556" w:name="_Toc292559878"/>
      <w:bookmarkStart w:id="557" w:name="_Toc318581173"/>
      <w:bookmarkStart w:id="558" w:name="_Toc297120468"/>
      <w:bookmarkStart w:id="559" w:name="_Toc304295557"/>
      <w:bookmarkStart w:id="560" w:name="_Toc296503168"/>
      <w:bookmarkStart w:id="561" w:name="_Toc300934980"/>
      <w:bookmarkStart w:id="562" w:name="_Toc296890996"/>
      <w:bookmarkStart w:id="563" w:name="_Toc297216187"/>
      <w:bookmarkStart w:id="564" w:name="_Toc296346669"/>
      <w:bookmarkStart w:id="565" w:name="_Toc296891208"/>
      <w:bookmarkStart w:id="566" w:name="_Toc312678020"/>
      <w:bookmarkStart w:id="567" w:name="_Toc312677494"/>
      <w:bookmarkStart w:id="568" w:name="_Toc296944507"/>
      <w:bookmarkStart w:id="569" w:name="_Toc296347167"/>
      <w:bookmarkStart w:id="570" w:name="_Toc297048354"/>
      <w:bookmarkStart w:id="571" w:name="_Toc297123528"/>
      <w:bookmarkStart w:id="572" w:name="_Toc303539137"/>
      <w:r>
        <w:rPr>
          <w:rFonts w:ascii="Times New Roman" w:hAnsi="Times New Roman" w:eastAsia="仿宋_GB2312"/>
          <w:color w:val="auto"/>
          <w:sz w:val="21"/>
          <w:szCs w:val="21"/>
          <w:highlight w:val="none"/>
        </w:rPr>
        <w:t>.4.1发包人供应的材料设备的保管费用的承担：</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bookmarkEnd w:id="555"/>
      <w:bookmarkEnd w:id="556"/>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8.6 样品</w:t>
      </w:r>
    </w:p>
    <w:p>
      <w:pPr>
        <w:autoSpaceDE w:val="0"/>
        <w:autoSpaceDN w:val="0"/>
        <w:adjustRightInd w:val="0"/>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8.6.1</w:t>
      </w:r>
      <w:r>
        <w:rPr>
          <w:rFonts w:ascii="Times New Roman" w:hAnsi="Times New Roman" w:eastAsia="仿宋_GB2312"/>
          <w:color w:val="auto"/>
          <w:kern w:val="0"/>
          <w:sz w:val="21"/>
          <w:szCs w:val="21"/>
          <w:highlight w:val="none"/>
        </w:rPr>
        <w:tab/>
      </w:r>
      <w:r>
        <w:rPr>
          <w:rFonts w:ascii="Times New Roman" w:hAnsi="Times New Roman" w:eastAsia="仿宋_GB2312"/>
          <w:color w:val="auto"/>
          <w:kern w:val="0"/>
          <w:sz w:val="21"/>
          <w:szCs w:val="21"/>
          <w:highlight w:val="none"/>
        </w:rPr>
        <w:t>样品的报送</w:t>
      </w:r>
      <w:r>
        <w:rPr>
          <w:rFonts w:hint="eastAsia" w:ascii="Times New Roman" w:hAnsi="Times New Roman" w:eastAsia="仿宋_GB2312"/>
          <w:color w:val="auto"/>
          <w:kern w:val="0"/>
          <w:sz w:val="21"/>
          <w:szCs w:val="21"/>
          <w:highlight w:val="none"/>
        </w:rPr>
        <w:t>与封存</w:t>
      </w:r>
    </w:p>
    <w:p>
      <w:pPr>
        <w:autoSpaceDE w:val="0"/>
        <w:autoSpaceDN w:val="0"/>
        <w:adjustRightInd w:val="0"/>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kern w:val="0"/>
          <w:sz w:val="21"/>
          <w:szCs w:val="21"/>
          <w:highlight w:val="none"/>
        </w:rPr>
        <w:t>需要承包人报送样品的材料或工程设备，样品的种类、名称、规格、数量要求：</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autoSpaceDE w:val="0"/>
        <w:autoSpaceDN w:val="0"/>
        <w:adjustRightInd w:val="0"/>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8.8 施工设备和临时设施</w:t>
      </w:r>
    </w:p>
    <w:p>
      <w:pPr>
        <w:autoSpaceDE w:val="0"/>
        <w:autoSpaceDN w:val="0"/>
        <w:adjustRightInd w:val="0"/>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8.8.1 承包人提供的施工设备和临时设施</w:t>
      </w:r>
    </w:p>
    <w:p>
      <w:pPr>
        <w:autoSpaceDE w:val="0"/>
        <w:autoSpaceDN w:val="0"/>
        <w:adjustRightInd w:val="0"/>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关于修建临时设施费用承担的约定：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p>
    <w:p>
      <w:pPr>
        <w:autoSpaceDE w:val="0"/>
        <w:autoSpaceDN w:val="0"/>
        <w:adjustRightInd w:val="0"/>
        <w:spacing w:line="360" w:lineRule="auto"/>
        <w:jc w:val="left"/>
        <w:rPr>
          <w:rFonts w:ascii="Times New Roman" w:hAnsi="Times New Roman" w:eastAsia="仿宋_GB2312"/>
          <w:color w:val="auto"/>
          <w:sz w:val="21"/>
          <w:szCs w:val="21"/>
          <w:highlight w:val="none"/>
        </w:rPr>
      </w:pP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Pr>
        <w:pStyle w:val="11"/>
        <w:spacing w:before="120" w:after="120" w:line="360" w:lineRule="auto"/>
        <w:rPr>
          <w:rFonts w:ascii="Times New Roman" w:hAnsi="Times New Roman" w:eastAsia="黑体"/>
          <w:b w:val="0"/>
          <w:color w:val="auto"/>
          <w:sz w:val="21"/>
          <w:szCs w:val="21"/>
          <w:highlight w:val="none"/>
        </w:rPr>
      </w:pPr>
      <w:bookmarkStart w:id="573" w:name="_Toc351203641"/>
      <w:r>
        <w:rPr>
          <w:rFonts w:ascii="Times New Roman" w:hAnsi="Times New Roman" w:eastAsia="黑体"/>
          <w:b w:val="0"/>
          <w:color w:val="auto"/>
          <w:sz w:val="21"/>
          <w:szCs w:val="21"/>
          <w:highlight w:val="none"/>
        </w:rPr>
        <w:t>9</w:t>
      </w:r>
      <w:bookmarkEnd w:id="552"/>
      <w:bookmarkEnd w:id="553"/>
      <w:bookmarkEnd w:id="554"/>
      <w:bookmarkStart w:id="574" w:name="_Toc297123533"/>
      <w:bookmarkStart w:id="575" w:name="_Toc300934982"/>
      <w:bookmarkStart w:id="576" w:name="_Toc303539139"/>
      <w:bookmarkStart w:id="577" w:name="_Toc312678021"/>
      <w:bookmarkStart w:id="578" w:name="_Toc312677495"/>
      <w:bookmarkStart w:id="579" w:name="_Toc304295559"/>
      <w:bookmarkStart w:id="580" w:name="_Toc297216192"/>
      <w:bookmarkStart w:id="581" w:name="_Toc267251427"/>
      <w:bookmarkStart w:id="582" w:name="_Toc296346674"/>
      <w:bookmarkStart w:id="583" w:name="_Toc296891213"/>
      <w:bookmarkStart w:id="584" w:name="_Toc292559378"/>
      <w:bookmarkStart w:id="585" w:name="_Toc297048359"/>
      <w:bookmarkStart w:id="586" w:name="_Toc296891001"/>
      <w:bookmarkStart w:id="587" w:name="_Toc292559883"/>
      <w:bookmarkStart w:id="588" w:name="_Toc297120473"/>
      <w:bookmarkStart w:id="589" w:name="_Toc296503173"/>
      <w:bookmarkStart w:id="590" w:name="_Toc267251428"/>
      <w:bookmarkStart w:id="591" w:name="_Toc296347172"/>
      <w:bookmarkStart w:id="592" w:name="_Toc296944512"/>
      <w:r>
        <w:rPr>
          <w:rFonts w:ascii="Times New Roman" w:hAnsi="Times New Roman" w:eastAsia="黑体"/>
          <w:b w:val="0"/>
          <w:color w:val="auto"/>
          <w:sz w:val="21"/>
          <w:szCs w:val="21"/>
          <w:highlight w:val="none"/>
        </w:rPr>
        <w:t>. 试验与检验</w:t>
      </w:r>
      <w:bookmarkEnd w:id="573"/>
    </w:p>
    <w:bookmarkEnd w:id="574"/>
    <w:bookmarkEnd w:id="575"/>
    <w:bookmarkEnd w:id="576"/>
    <w:bookmarkEnd w:id="577"/>
    <w:bookmarkEnd w:id="578"/>
    <w:bookmarkEnd w:id="579"/>
    <w:bookmarkEnd w:id="580"/>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9</w:t>
      </w:r>
      <w:bookmarkStart w:id="593" w:name="_Toc312677496"/>
      <w:bookmarkStart w:id="594" w:name="_Toc300934983"/>
      <w:bookmarkStart w:id="595" w:name="_Toc304295560"/>
      <w:bookmarkStart w:id="596" w:name="_Toc312678022"/>
      <w:bookmarkStart w:id="597" w:name="_Toc297216193"/>
      <w:bookmarkStart w:id="598" w:name="_Toc297123534"/>
      <w:bookmarkStart w:id="599" w:name="_Toc303539140"/>
      <w:r>
        <w:rPr>
          <w:rFonts w:ascii="Times New Roman" w:hAnsi="Times New Roman" w:eastAsia="黑体"/>
          <w:color w:val="auto"/>
          <w:sz w:val="21"/>
          <w:szCs w:val="21"/>
          <w:highlight w:val="none"/>
        </w:rPr>
        <w:t>.1试验设备与试验人员</w:t>
      </w:r>
    </w:p>
    <w:bookmarkEnd w:id="593"/>
    <w:bookmarkEnd w:id="594"/>
    <w:bookmarkEnd w:id="595"/>
    <w:bookmarkEnd w:id="596"/>
    <w:bookmarkEnd w:id="597"/>
    <w:bookmarkEnd w:id="598"/>
    <w:bookmarkEnd w:id="599"/>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9</w:t>
      </w:r>
      <w:bookmarkStart w:id="600" w:name="_Toc303539141"/>
      <w:bookmarkStart w:id="601" w:name="_Toc297123535"/>
      <w:bookmarkStart w:id="602" w:name="_Toc312678023"/>
      <w:bookmarkStart w:id="603" w:name="_Toc300934984"/>
      <w:bookmarkStart w:id="604" w:name="_Toc297216194"/>
      <w:bookmarkStart w:id="605" w:name="_Toc304295561"/>
      <w:bookmarkStart w:id="606" w:name="_Toc312677497"/>
      <w:bookmarkStart w:id="607" w:name="_Toc318581174"/>
      <w:r>
        <w:rPr>
          <w:rFonts w:ascii="Times New Roman" w:hAnsi="Times New Roman" w:eastAsia="仿宋_GB2312"/>
          <w:color w:val="auto"/>
          <w:sz w:val="21"/>
          <w:szCs w:val="21"/>
          <w:highlight w:val="none"/>
        </w:rPr>
        <w:t>.1.2 试验设备</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施工现场需要配置的试验场所：</w:t>
      </w:r>
      <w:bookmarkEnd w:id="600"/>
      <w:bookmarkEnd w:id="601"/>
      <w:bookmarkEnd w:id="602"/>
      <w:bookmarkEnd w:id="603"/>
      <w:bookmarkEnd w:id="604"/>
      <w:bookmarkEnd w:id="605"/>
      <w:bookmarkEnd w:id="606"/>
      <w:bookmarkStart w:id="608" w:name="_Toc297216195"/>
      <w:bookmarkStart w:id="609" w:name="_Toc300934985"/>
      <w:bookmarkStart w:id="610" w:name="_Toc304295562"/>
      <w:bookmarkStart w:id="611" w:name="_Toc312677498"/>
      <w:bookmarkStart w:id="612" w:name="_Toc297123536"/>
      <w:bookmarkStart w:id="613" w:name="_Toc303539142"/>
      <w:bookmarkStart w:id="614" w:name="_Toc312678024"/>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r>
        <w:rPr>
          <w:rFonts w:hint="eastAsia" w:ascii="Times New Roman" w:hAnsi="Times New Roman" w:eastAsia="仿宋_GB2312"/>
          <w:color w:val="auto"/>
          <w:sz w:val="21"/>
          <w:szCs w:val="21"/>
          <w:highlight w:val="none"/>
        </w:rPr>
        <w:t xml:space="preserve"> </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施工现场需要配备的试验设备：</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施工现场需要具备的其他试验条件：</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9.4 现场工艺试验</w:t>
      </w:r>
      <w:r>
        <w:rPr>
          <w:rFonts w:hint="eastAsia" w:ascii="Times New Roman" w:hAnsi="Times New Roman" w:eastAsia="黑体"/>
          <w:color w:val="auto"/>
          <w:sz w:val="21"/>
          <w:szCs w:val="21"/>
          <w:highlight w:val="none"/>
        </w:rPr>
        <w:t xml:space="preserve"> </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现场工艺试验的有关约定：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hint="eastAsia" w:ascii="Times New Roman" w:hAnsi="Times New Roman" w:eastAsia="仿宋_GB2312"/>
          <w:color w:val="auto"/>
          <w:sz w:val="21"/>
          <w:szCs w:val="21"/>
          <w:highlight w:val="none"/>
        </w:rPr>
      </w:pP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bookmarkEnd w:id="607"/>
    <w:bookmarkEnd w:id="608"/>
    <w:bookmarkEnd w:id="609"/>
    <w:bookmarkEnd w:id="610"/>
    <w:bookmarkEnd w:id="611"/>
    <w:bookmarkEnd w:id="612"/>
    <w:bookmarkEnd w:id="613"/>
    <w:bookmarkEnd w:id="614"/>
    <w:p>
      <w:pPr>
        <w:pStyle w:val="11"/>
        <w:spacing w:before="120" w:after="120" w:line="360" w:lineRule="auto"/>
        <w:rPr>
          <w:rFonts w:ascii="Times New Roman" w:hAnsi="Times New Roman" w:eastAsia="黑体"/>
          <w:b w:val="0"/>
          <w:color w:val="auto"/>
          <w:sz w:val="21"/>
          <w:szCs w:val="21"/>
          <w:highlight w:val="none"/>
        </w:rPr>
      </w:pPr>
      <w:bookmarkStart w:id="615" w:name="_Toc351203642"/>
      <w:r>
        <w:rPr>
          <w:rFonts w:ascii="Times New Roman" w:hAnsi="Times New Roman" w:eastAsia="黑体"/>
          <w:b w:val="0"/>
          <w:color w:val="auto"/>
          <w:sz w:val="21"/>
          <w:szCs w:val="21"/>
          <w:highlight w:val="none"/>
        </w:rPr>
        <w:t>1</w:t>
      </w:r>
      <w:bookmarkEnd w:id="581"/>
      <w:bookmarkEnd w:id="582"/>
      <w:bookmarkEnd w:id="583"/>
      <w:bookmarkEnd w:id="584"/>
      <w:bookmarkEnd w:id="585"/>
      <w:bookmarkEnd w:id="586"/>
      <w:bookmarkEnd w:id="587"/>
      <w:bookmarkEnd w:id="588"/>
      <w:bookmarkEnd w:id="589"/>
      <w:bookmarkEnd w:id="590"/>
      <w:bookmarkEnd w:id="591"/>
      <w:bookmarkEnd w:id="592"/>
      <w:bookmarkStart w:id="616" w:name="_Toc292559903"/>
      <w:bookmarkStart w:id="617" w:name="_Toc296503193"/>
      <w:bookmarkStart w:id="618" w:name="_Toc296944532"/>
      <w:bookmarkStart w:id="619" w:name="_Toc296347192"/>
      <w:bookmarkStart w:id="620" w:name="_Toc292559398"/>
      <w:bookmarkStart w:id="621" w:name="_Toc297216199"/>
      <w:bookmarkStart w:id="622" w:name="_Toc296891021"/>
      <w:bookmarkStart w:id="623" w:name="_Toc296346694"/>
      <w:bookmarkStart w:id="624" w:name="_Toc297048379"/>
      <w:bookmarkStart w:id="625" w:name="_Toc304295566"/>
      <w:bookmarkStart w:id="626" w:name="_Toc297120493"/>
      <w:bookmarkStart w:id="627" w:name="_Toc296891233"/>
      <w:bookmarkStart w:id="628" w:name="_Toc297123540"/>
      <w:bookmarkStart w:id="629" w:name="_Toc300934989"/>
      <w:bookmarkStart w:id="630" w:name="_Toc303539146"/>
      <w:bookmarkStart w:id="631" w:name="_Toc312678025"/>
      <w:bookmarkStart w:id="632" w:name="_Toc312677499"/>
      <w:bookmarkStart w:id="633" w:name="_Toc267251441"/>
      <w:bookmarkStart w:id="634" w:name="_Toc267251435"/>
      <w:bookmarkStart w:id="635" w:name="_Toc267251437"/>
      <w:bookmarkStart w:id="636" w:name="_Toc267251439"/>
      <w:bookmarkStart w:id="637" w:name="_Toc267251440"/>
      <w:bookmarkStart w:id="638" w:name="_Toc267251433"/>
      <w:bookmarkStart w:id="639" w:name="_Toc267251442"/>
      <w:r>
        <w:rPr>
          <w:rFonts w:ascii="Times New Roman" w:hAnsi="Times New Roman" w:eastAsia="黑体"/>
          <w:b w:val="0"/>
          <w:color w:val="auto"/>
          <w:sz w:val="21"/>
          <w:szCs w:val="21"/>
          <w:highlight w:val="none"/>
        </w:rPr>
        <w:t>0. 变更</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bookmarkEnd w:id="631"/>
    <w:bookmarkEnd w:id="632"/>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w:t>
      </w:r>
      <w:bookmarkStart w:id="640" w:name="_Toc297120494"/>
      <w:bookmarkStart w:id="641" w:name="_Toc296944533"/>
      <w:bookmarkStart w:id="642" w:name="_Toc312677500"/>
      <w:bookmarkStart w:id="643" w:name="_Toc296347193"/>
      <w:bookmarkStart w:id="644" w:name="_Toc296891234"/>
      <w:bookmarkStart w:id="645" w:name="_Toc292559399"/>
      <w:bookmarkStart w:id="646" w:name="_Toc296346695"/>
      <w:bookmarkStart w:id="647" w:name="_Toc297123541"/>
      <w:bookmarkStart w:id="648" w:name="_Toc296891022"/>
      <w:bookmarkStart w:id="649" w:name="_Toc300934990"/>
      <w:bookmarkStart w:id="650" w:name="_Toc297216200"/>
      <w:bookmarkStart w:id="651" w:name="_Toc297048380"/>
      <w:bookmarkStart w:id="652" w:name="_Toc312678026"/>
      <w:bookmarkStart w:id="653" w:name="_Toc303539147"/>
      <w:bookmarkStart w:id="654" w:name="_Toc292559904"/>
      <w:bookmarkStart w:id="655" w:name="_Toc304295567"/>
      <w:bookmarkStart w:id="656" w:name="_Toc296503194"/>
      <w:r>
        <w:rPr>
          <w:rFonts w:ascii="Times New Roman" w:hAnsi="Times New Roman" w:eastAsia="黑体"/>
          <w:color w:val="auto"/>
          <w:sz w:val="21"/>
          <w:szCs w:val="21"/>
          <w:highlight w:val="none"/>
        </w:rPr>
        <w:t>0.1变更的范围</w:t>
      </w:r>
    </w:p>
    <w:p>
      <w:pPr>
        <w:spacing w:line="360" w:lineRule="auto"/>
        <w:ind w:firstLine="6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关于变更的范围的约定：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10.4 变更估价</w:t>
      </w:r>
    </w:p>
    <w:p>
      <w:pPr>
        <w:spacing w:line="360" w:lineRule="auto"/>
        <w:ind w:firstLine="420" w:firstLineChars="200"/>
        <w:jc w:val="left"/>
        <w:rPr>
          <w:rFonts w:hint="eastAsia" w:ascii="Times New Roman" w:hAnsi="Times New Roman" w:eastAsia="仿宋_GB2312"/>
          <w:color w:val="auto"/>
          <w:sz w:val="21"/>
          <w:szCs w:val="21"/>
          <w:highlight w:val="none"/>
        </w:rPr>
      </w:pPr>
      <w:r>
        <w:rPr>
          <w:rFonts w:hint="eastAsia" w:ascii="Times New Roman" w:hAnsi="Times New Roman" w:eastAsia="仿宋_GB2312"/>
          <w:color w:val="auto"/>
          <w:sz w:val="21"/>
          <w:szCs w:val="21"/>
          <w:highlight w:val="none"/>
        </w:rPr>
        <w:t>10.4.1 变更估价原则</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 xml:space="preserve">关于变更估价的约定: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Start w:id="657" w:name="_Toc297123544"/>
      <w:bookmarkStart w:id="658" w:name="_Toc297216203"/>
      <w:bookmarkStart w:id="659" w:name="_Toc296347196"/>
      <w:bookmarkStart w:id="660" w:name="_Toc292559402"/>
      <w:bookmarkStart w:id="661" w:name="_Toc296891237"/>
      <w:bookmarkStart w:id="662" w:name="_Toc296944536"/>
      <w:bookmarkStart w:id="663" w:name="_Toc297120497"/>
      <w:bookmarkStart w:id="664" w:name="_Toc296503197"/>
      <w:bookmarkStart w:id="665" w:name="_Toc296891025"/>
      <w:bookmarkStart w:id="666" w:name="_Toc297048383"/>
      <w:bookmarkStart w:id="667" w:name="_Toc292559907"/>
      <w:bookmarkStart w:id="668" w:name="_Toc300934993"/>
      <w:bookmarkStart w:id="669" w:name="_Toc296346698"/>
      <w:bookmarkStart w:id="670" w:name="_Toc303539150"/>
      <w:bookmarkStart w:id="671" w:name="_Toc312678029"/>
      <w:bookmarkStart w:id="672" w:name="_Toc312677503"/>
      <w:bookmarkStart w:id="673" w:name="_Toc304295570"/>
      <w:r>
        <w:rPr>
          <w:rFonts w:ascii="Times New Roman" w:hAnsi="Times New Roman" w:eastAsia="黑体"/>
          <w:color w:val="auto"/>
          <w:sz w:val="21"/>
          <w:szCs w:val="21"/>
          <w:highlight w:val="none"/>
        </w:rPr>
        <w:t>0.5承</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Start w:id="674" w:name="_Toc296891031"/>
      <w:bookmarkStart w:id="675" w:name="_Toc296346704"/>
      <w:bookmarkStart w:id="676" w:name="_Toc296944542"/>
      <w:bookmarkStart w:id="677" w:name="_Toc292559408"/>
      <w:bookmarkStart w:id="678" w:name="_Toc297123545"/>
      <w:bookmarkStart w:id="679" w:name="_Toc296503203"/>
      <w:bookmarkStart w:id="680" w:name="_Toc296347202"/>
      <w:bookmarkStart w:id="681" w:name="_Toc297216204"/>
      <w:bookmarkStart w:id="682" w:name="_Toc300934994"/>
      <w:bookmarkStart w:id="683" w:name="_Toc297048389"/>
      <w:bookmarkStart w:id="684" w:name="_Toc292559913"/>
      <w:bookmarkStart w:id="685" w:name="_Toc297120503"/>
      <w:bookmarkStart w:id="686" w:name="_Toc296891243"/>
      <w:bookmarkStart w:id="687" w:name="_Toc303539151"/>
      <w:r>
        <w:rPr>
          <w:rFonts w:ascii="Times New Roman" w:hAnsi="Times New Roman" w:eastAsia="黑体"/>
          <w:color w:val="auto"/>
          <w:sz w:val="21"/>
          <w:szCs w:val="21"/>
          <w:highlight w:val="none"/>
        </w:rPr>
        <w:t>包人的合理化建议</w:t>
      </w:r>
    </w:p>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监理人审查承包人合理化建议的期限：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发包人审批承包人合理化建议的期限：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承</w:t>
      </w:r>
      <w:bookmarkStart w:id="688" w:name="_Toc304295571"/>
      <w:bookmarkStart w:id="689" w:name="_Toc296503204"/>
      <w:bookmarkStart w:id="690" w:name="_Toc297123546"/>
      <w:bookmarkStart w:id="691" w:name="_Toc297120504"/>
      <w:bookmarkStart w:id="692" w:name="_Toc297048390"/>
      <w:bookmarkStart w:id="693" w:name="_Toc318581175"/>
      <w:bookmarkStart w:id="694" w:name="_Toc296347203"/>
      <w:bookmarkStart w:id="695" w:name="_Toc292559914"/>
      <w:bookmarkStart w:id="696" w:name="_Toc300934995"/>
      <w:bookmarkStart w:id="697" w:name="_Toc312678030"/>
      <w:bookmarkStart w:id="698" w:name="_Toc296346705"/>
      <w:bookmarkStart w:id="699" w:name="_Toc296944543"/>
      <w:bookmarkStart w:id="700" w:name="_Toc303539152"/>
      <w:bookmarkStart w:id="701" w:name="_Toc296891244"/>
      <w:bookmarkStart w:id="702" w:name="_Toc296891032"/>
      <w:bookmarkStart w:id="703" w:name="_Toc292559409"/>
      <w:bookmarkStart w:id="704" w:name="_Toc297216205"/>
      <w:bookmarkStart w:id="705" w:name="_Toc312677504"/>
      <w:r>
        <w:rPr>
          <w:rFonts w:ascii="Times New Roman" w:hAnsi="Times New Roman" w:eastAsia="仿宋_GB2312"/>
          <w:color w:val="auto"/>
          <w:sz w:val="21"/>
          <w:szCs w:val="21"/>
          <w:highlight w:val="none"/>
        </w:rPr>
        <w:t>包人提出的合理化建议降低了合同价格或者提高了工程经济效益的奖励的方法和金额为：</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u w:val="single"/>
        </w:rPr>
      </w:pP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w:t>
      </w:r>
      <w:bookmarkStart w:id="706" w:name="_Toc292559909"/>
      <w:bookmarkStart w:id="707" w:name="_Toc304295574"/>
      <w:bookmarkStart w:id="708" w:name="_Toc297123548"/>
      <w:bookmarkStart w:id="709" w:name="_Toc296944538"/>
      <w:bookmarkStart w:id="710" w:name="_Toc296347198"/>
      <w:bookmarkStart w:id="711" w:name="_Toc296891239"/>
      <w:bookmarkStart w:id="712" w:name="_Toc297120499"/>
      <w:bookmarkStart w:id="713" w:name="_Toc296346700"/>
      <w:bookmarkStart w:id="714" w:name="_Toc303539154"/>
      <w:bookmarkStart w:id="715" w:name="_Toc296503199"/>
      <w:bookmarkStart w:id="716" w:name="_Toc292559404"/>
      <w:bookmarkStart w:id="717" w:name="_Toc312677507"/>
      <w:bookmarkStart w:id="718" w:name="_Toc296891027"/>
      <w:bookmarkStart w:id="719" w:name="_Toc312678033"/>
      <w:bookmarkStart w:id="720" w:name="_Toc297048385"/>
      <w:bookmarkStart w:id="721" w:name="_Toc297216207"/>
      <w:bookmarkStart w:id="722" w:name="_Toc300934997"/>
      <w:r>
        <w:rPr>
          <w:rFonts w:ascii="Times New Roman" w:hAnsi="Times New Roman" w:eastAsia="黑体"/>
          <w:color w:val="auto"/>
          <w:sz w:val="21"/>
          <w:szCs w:val="21"/>
          <w:highlight w:val="none"/>
        </w:rPr>
        <w:t>0.7 暂估价</w:t>
      </w:r>
    </w:p>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kern w:val="0"/>
          <w:sz w:val="21"/>
          <w:szCs w:val="21"/>
          <w:highlight w:val="none"/>
        </w:rPr>
        <w:t>暂</w:t>
      </w:r>
      <w:bookmarkStart w:id="723" w:name="_Toc312677508"/>
      <w:bookmarkStart w:id="724" w:name="_Toc312678034"/>
      <w:bookmarkStart w:id="725" w:name="_Toc318581176"/>
      <w:r>
        <w:rPr>
          <w:rFonts w:ascii="Times New Roman" w:hAnsi="Times New Roman" w:eastAsia="仿宋_GB2312"/>
          <w:color w:val="auto"/>
          <w:kern w:val="0"/>
          <w:sz w:val="21"/>
          <w:szCs w:val="21"/>
          <w:highlight w:val="none"/>
        </w:rPr>
        <w:t>估价材料和工程设备的明细详见附件</w:t>
      </w:r>
      <w:r>
        <w:rPr>
          <w:rFonts w:hint="eastAsia" w:ascii="Times New Roman" w:hAnsi="Times New Roman" w:eastAsia="仿宋_GB2312"/>
          <w:color w:val="auto"/>
          <w:kern w:val="0"/>
          <w:sz w:val="21"/>
          <w:szCs w:val="21"/>
          <w:highlight w:val="none"/>
        </w:rPr>
        <w:t>11：《</w:t>
      </w:r>
      <w:r>
        <w:rPr>
          <w:rFonts w:ascii="Times New Roman" w:hAnsi="Times New Roman" w:eastAsia="仿宋_GB2312"/>
          <w:color w:val="auto"/>
          <w:sz w:val="21"/>
          <w:szCs w:val="21"/>
          <w:highlight w:val="none"/>
        </w:rPr>
        <w:t>暂估价一览表</w:t>
      </w:r>
      <w:r>
        <w:rPr>
          <w:rFonts w:hint="eastAsia" w:ascii="Times New Roman" w:hAnsi="Times New Roman" w:eastAsia="仿宋_GB2312"/>
          <w:color w:val="auto"/>
          <w:sz w:val="21"/>
          <w:szCs w:val="21"/>
          <w:highlight w:val="none"/>
        </w:rPr>
        <w:t>》</w:t>
      </w:r>
      <w:r>
        <w:rPr>
          <w:rFonts w:hint="eastAsia" w:ascii="Times New Roman" w:hAnsi="Times New Roman" w:eastAsia="仿宋_GB2312"/>
          <w:color w:val="auto"/>
          <w:kern w:val="0"/>
          <w:sz w:val="21"/>
          <w:szCs w:val="21"/>
          <w:highlight w:val="none"/>
        </w:rPr>
        <w:t>。</w:t>
      </w:r>
    </w:p>
    <w:bookmarkEnd w:id="723"/>
    <w:bookmarkEnd w:id="724"/>
    <w:bookmarkEnd w:id="725"/>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w:t>
      </w:r>
      <w:bookmarkStart w:id="726" w:name="_Toc312678035"/>
      <w:bookmarkStart w:id="727" w:name="_Toc318581177"/>
      <w:bookmarkStart w:id="728" w:name="_Toc312677509"/>
      <w:r>
        <w:rPr>
          <w:rFonts w:ascii="Times New Roman" w:hAnsi="Times New Roman" w:eastAsia="仿宋_GB2312"/>
          <w:color w:val="auto"/>
          <w:sz w:val="21"/>
          <w:szCs w:val="21"/>
          <w:highlight w:val="none"/>
        </w:rPr>
        <w:t>0.7.1 依法必须招标的暂估价项目</w:t>
      </w:r>
    </w:p>
    <w:bookmarkEnd w:id="726"/>
    <w:bookmarkEnd w:id="727"/>
    <w:bookmarkEnd w:id="728"/>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对于依法必须招标的暂估价项目的确认和批准采取第</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种方式确定。</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10.7.2 不属于依法必须招标的暂估价项目</w:t>
      </w:r>
    </w:p>
    <w:p>
      <w:pPr>
        <w:spacing w:line="360" w:lineRule="auto"/>
        <w:ind w:firstLine="420" w:firstLineChars="200"/>
        <w:jc w:val="left"/>
        <w:rPr>
          <w:rFonts w:hint="eastAsia"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对于不属于依法必须招标的暂估价项目的确认和批准采取第</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 xml:space="preserve"> 种方式确定。</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sz w:val="21"/>
          <w:szCs w:val="21"/>
          <w:highlight w:val="none"/>
        </w:rPr>
        <w:t>第3种方式：</w:t>
      </w:r>
      <w:r>
        <w:rPr>
          <w:rFonts w:ascii="Times New Roman" w:hAnsi="Times New Roman" w:eastAsia="仿宋_GB2312"/>
          <w:color w:val="auto"/>
          <w:kern w:val="0"/>
          <w:sz w:val="21"/>
          <w:szCs w:val="21"/>
          <w:highlight w:val="none"/>
        </w:rPr>
        <w:t>承包人直接实施的暂估价项目</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承包人直接实施的暂估价项目的约定：</w:t>
      </w:r>
      <w:r>
        <w:rPr>
          <w:rFonts w:ascii="Times New Roman" w:hAnsi="Times New Roman" w:eastAsia="仿宋_GB2312"/>
          <w:color w:val="auto"/>
          <w:sz w:val="21"/>
          <w:szCs w:val="21"/>
          <w:highlight w:val="none"/>
          <w:u w:val="single"/>
        </w:rPr>
        <w:t xml:space="preserve">                     </w:t>
      </w:r>
    </w:p>
    <w:p>
      <w:pPr>
        <w:spacing w:line="360" w:lineRule="auto"/>
        <w:jc w:val="left"/>
        <w:rPr>
          <w:rFonts w:hint="eastAsia" w:ascii="Times New Roman" w:hAnsi="Times New Roman" w:eastAsia="仿宋_GB2312"/>
          <w:color w:val="auto"/>
          <w:sz w:val="21"/>
          <w:szCs w:val="21"/>
          <w:highlight w:val="none"/>
        </w:rPr>
      </w:pP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10.8 暂列金额</w:t>
      </w:r>
    </w:p>
    <w:p>
      <w:pPr>
        <w:autoSpaceDE w:val="0"/>
        <w:autoSpaceDN w:val="0"/>
        <w:adjustRightInd w:val="0"/>
        <w:spacing w:line="360" w:lineRule="auto"/>
        <w:ind w:firstLine="420" w:firstLineChars="200"/>
        <w:jc w:val="left"/>
        <w:rPr>
          <w:rFonts w:hint="eastAsia" w:ascii="Times New Roman" w:hAnsi="Times New Roman" w:eastAsia="仿宋_GB2312"/>
          <w:color w:val="auto"/>
          <w:sz w:val="21"/>
          <w:szCs w:val="21"/>
          <w:highlight w:val="none"/>
          <w:u w:val="single"/>
        </w:rPr>
      </w:pPr>
      <w:r>
        <w:rPr>
          <w:rFonts w:hint="eastAsia" w:ascii="Times New Roman" w:hAnsi="Times New Roman" w:eastAsia="仿宋_GB2312"/>
          <w:color w:val="auto"/>
          <w:kern w:val="0"/>
          <w:sz w:val="21"/>
          <w:szCs w:val="21"/>
          <w:highlight w:val="none"/>
        </w:rPr>
        <w:t>合同当事人关于暂列金额使用的约定：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p>
    <w:p>
      <w:pPr>
        <w:autoSpaceDE w:val="0"/>
        <w:autoSpaceDN w:val="0"/>
        <w:adjustRightInd w:val="0"/>
        <w:spacing w:line="360" w:lineRule="auto"/>
        <w:jc w:val="left"/>
        <w:rPr>
          <w:rFonts w:ascii="Times New Roman" w:hAnsi="Times New Roman" w:eastAsia="仿宋_GB2312"/>
          <w:color w:val="auto"/>
          <w:kern w:val="0"/>
          <w:sz w:val="21"/>
          <w:szCs w:val="21"/>
          <w:highlight w:val="none"/>
        </w:rPr>
      </w:pPr>
      <w:r>
        <w:rPr>
          <w:rFonts w:hint="eastAsia"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kern w:val="0"/>
          <w:sz w:val="21"/>
          <w:szCs w:val="21"/>
          <w:highlight w:val="none"/>
        </w:rPr>
        <w:t>。</w:t>
      </w:r>
    </w:p>
    <w:p>
      <w:pPr>
        <w:pStyle w:val="11"/>
        <w:spacing w:before="120" w:after="120" w:line="360" w:lineRule="auto"/>
        <w:rPr>
          <w:rFonts w:ascii="Times New Roman" w:hAnsi="Times New Roman" w:eastAsia="黑体"/>
          <w:b w:val="0"/>
          <w:color w:val="auto"/>
          <w:sz w:val="21"/>
          <w:szCs w:val="21"/>
          <w:highlight w:val="none"/>
        </w:rPr>
      </w:pPr>
      <w:bookmarkStart w:id="729" w:name="_Toc351203643"/>
      <w:r>
        <w:rPr>
          <w:rFonts w:ascii="Times New Roman" w:hAnsi="Times New Roman" w:eastAsia="黑体"/>
          <w:b w:val="0"/>
          <w:color w:val="auto"/>
          <w:sz w:val="21"/>
          <w:szCs w:val="21"/>
          <w:highlight w:val="none"/>
        </w:rPr>
        <w:t>11. 价格调整</w:t>
      </w:r>
      <w:bookmarkEnd w:id="729"/>
    </w:p>
    <w:p>
      <w:pPr>
        <w:spacing w:after="120" w:line="360" w:lineRule="auto"/>
        <w:ind w:firstLine="420" w:firstLineChars="200"/>
        <w:rPr>
          <w:rFonts w:ascii="Times New Roman" w:hAnsi="Times New Roman" w:eastAsia="黑体"/>
          <w:color w:val="auto"/>
          <w:sz w:val="21"/>
          <w:szCs w:val="21"/>
          <w:highlight w:val="none"/>
        </w:rPr>
      </w:pPr>
      <w:bookmarkStart w:id="730" w:name="_Toc304295577"/>
      <w:bookmarkStart w:id="731" w:name="_Toc296503201"/>
      <w:bookmarkStart w:id="732" w:name="_Toc292559406"/>
      <w:bookmarkStart w:id="733" w:name="_Toc297123550"/>
      <w:bookmarkStart w:id="734" w:name="_Toc297048387"/>
      <w:bookmarkStart w:id="735" w:name="_Toc312678039"/>
      <w:bookmarkStart w:id="736" w:name="_Toc292559911"/>
      <w:bookmarkStart w:id="737" w:name="_Toc296346702"/>
      <w:bookmarkStart w:id="738" w:name="_Toc296347200"/>
      <w:bookmarkStart w:id="739" w:name="_Toc300935000"/>
      <w:bookmarkStart w:id="740" w:name="_Toc297120501"/>
      <w:bookmarkStart w:id="741" w:name="_Toc303539157"/>
      <w:bookmarkStart w:id="742" w:name="_Toc296891029"/>
      <w:bookmarkStart w:id="743" w:name="_Toc297216209"/>
      <w:bookmarkStart w:id="744" w:name="_Toc296891241"/>
      <w:bookmarkStart w:id="745" w:name="_Toc296944540"/>
      <w:r>
        <w:rPr>
          <w:rFonts w:ascii="Times New Roman" w:hAnsi="Times New Roman" w:eastAsia="黑体"/>
          <w:color w:val="auto"/>
          <w:sz w:val="21"/>
          <w:szCs w:val="21"/>
          <w:highlight w:val="none"/>
        </w:rPr>
        <w:t>11.1 市场价格波动引起的调整</w:t>
      </w:r>
    </w:p>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kern w:val="0"/>
          <w:sz w:val="21"/>
          <w:szCs w:val="21"/>
          <w:highlight w:val="none"/>
        </w:rPr>
        <w:t>市场价格波动是否调整合同价格的约定：</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因市场价格波动调整合同价格，采用以下第</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种方式对合同价格进行调整：</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第1种方式：采用价格指数</w:t>
      </w:r>
      <w:r>
        <w:rPr>
          <w:rFonts w:hint="eastAsia" w:ascii="Times New Roman" w:hAnsi="Times New Roman" w:eastAsia="仿宋_GB2312"/>
          <w:color w:val="auto"/>
          <w:sz w:val="21"/>
          <w:szCs w:val="21"/>
          <w:highlight w:val="none"/>
        </w:rPr>
        <w:t>进行价格</w:t>
      </w:r>
      <w:r>
        <w:rPr>
          <w:rFonts w:ascii="Times New Roman" w:hAnsi="Times New Roman" w:eastAsia="仿宋_GB2312"/>
          <w:color w:val="auto"/>
          <w:sz w:val="21"/>
          <w:szCs w:val="21"/>
          <w:highlight w:val="none"/>
        </w:rPr>
        <w:t>调整。</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关于各可调因子、定值和变值权重，以及基本价格指数及其来源的约定：</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 xml:space="preserve">；  </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第2种方式：采用造价信息</w:t>
      </w:r>
      <w:r>
        <w:rPr>
          <w:rFonts w:hint="eastAsia" w:ascii="Times New Roman" w:hAnsi="Times New Roman" w:eastAsia="仿宋_GB2312"/>
          <w:color w:val="auto"/>
          <w:sz w:val="21"/>
          <w:szCs w:val="21"/>
          <w:highlight w:val="none"/>
        </w:rPr>
        <w:t>进行价格</w:t>
      </w:r>
      <w:r>
        <w:rPr>
          <w:rFonts w:ascii="Times New Roman" w:hAnsi="Times New Roman" w:eastAsia="仿宋_GB2312"/>
          <w:color w:val="auto"/>
          <w:sz w:val="21"/>
          <w:szCs w:val="21"/>
          <w:highlight w:val="none"/>
        </w:rPr>
        <w:t>调整。</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（2）关于基准价格的约定：</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专用合同条款</w:t>
      </w:r>
      <w:r>
        <w:rPr>
          <w:rFonts w:hint="eastAsia" w:ascii="宋体" w:hAnsi="宋体" w:cs="宋体"/>
          <w:color w:val="auto"/>
          <w:sz w:val="21"/>
          <w:szCs w:val="21"/>
          <w:highlight w:val="none"/>
        </w:rPr>
        <w:t>①</w:t>
      </w:r>
      <w:r>
        <w:rPr>
          <w:rFonts w:ascii="Times New Roman" w:hAnsi="Times New Roman" w:eastAsia="仿宋_GB2312"/>
          <w:color w:val="auto"/>
          <w:sz w:val="21"/>
          <w:szCs w:val="21"/>
          <w:highlight w:val="none"/>
        </w:rPr>
        <w:t>承包人在已标价工程量清单或预算书中载明的材料单价低于基准价格的：专用合同条款合同履行期间材料单价涨幅以基准价格为基础超过</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%时，或材料单价跌幅以已标价工程量清单或预算书中载明材料单价为基础超过</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%时，其超过部分据实调整。</w:t>
      </w:r>
    </w:p>
    <w:p>
      <w:pPr>
        <w:spacing w:line="360" w:lineRule="auto"/>
        <w:ind w:firstLine="420" w:firstLineChars="200"/>
        <w:jc w:val="left"/>
        <w:rPr>
          <w:rFonts w:ascii="Times New Roman" w:hAnsi="Times New Roman" w:eastAsia="仿宋_GB2312"/>
          <w:color w:val="auto"/>
          <w:sz w:val="21"/>
          <w:szCs w:val="21"/>
          <w:highlight w:val="none"/>
        </w:rPr>
      </w:pPr>
      <w:r>
        <w:rPr>
          <w:rFonts w:hint="eastAsia" w:ascii="宋体" w:hAnsi="宋体" w:cs="宋体"/>
          <w:color w:val="auto"/>
          <w:sz w:val="21"/>
          <w:szCs w:val="21"/>
          <w:highlight w:val="none"/>
        </w:rPr>
        <w:t>②</w:t>
      </w:r>
      <w:r>
        <w:rPr>
          <w:rFonts w:ascii="Times New Roman" w:hAnsi="Times New Roman" w:eastAsia="仿宋_GB2312"/>
          <w:color w:val="auto"/>
          <w:sz w:val="21"/>
          <w:szCs w:val="21"/>
          <w:highlight w:val="none"/>
        </w:rPr>
        <w:t>承包人在已标价工程量清单或预算书中载明的材料单价高于基准价格的：专用合同条款合同履行期间材料单价跌幅以基准价格为基础超过</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%时，材料单价涨幅以已标价工程量清单或预算书中载明材料单价为基础超过</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%时，其超过部分据实调整。</w:t>
      </w:r>
    </w:p>
    <w:p>
      <w:pPr>
        <w:spacing w:line="360" w:lineRule="auto"/>
        <w:ind w:firstLine="645"/>
        <w:jc w:val="left"/>
        <w:rPr>
          <w:rFonts w:ascii="Times New Roman" w:hAnsi="Times New Roman" w:eastAsia="仿宋_GB2312"/>
          <w:color w:val="auto"/>
          <w:sz w:val="21"/>
          <w:szCs w:val="21"/>
          <w:highlight w:val="none"/>
        </w:rPr>
      </w:pPr>
      <w:r>
        <w:rPr>
          <w:rFonts w:hint="eastAsia" w:ascii="宋体" w:hAnsi="宋体" w:cs="宋体"/>
          <w:color w:val="auto"/>
          <w:sz w:val="21"/>
          <w:szCs w:val="21"/>
          <w:highlight w:val="none"/>
        </w:rPr>
        <w:t>③</w:t>
      </w:r>
      <w:r>
        <w:rPr>
          <w:rFonts w:ascii="Times New Roman" w:hAnsi="Times New Roman" w:eastAsia="仿宋_GB2312"/>
          <w:color w:val="auto"/>
          <w:sz w:val="21"/>
          <w:szCs w:val="21"/>
          <w:highlight w:val="none"/>
        </w:rPr>
        <w:t>承包人在已标价工程量清单或预算书中载明的材料单价等于基准单价的：专用合同条款合同履行期间材料单价涨跌幅以基准单价为基础超过±</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%时，其超过部分据实调整。</w:t>
      </w:r>
    </w:p>
    <w:p>
      <w:pPr>
        <w:spacing w:line="360" w:lineRule="auto"/>
        <w:ind w:firstLine="645"/>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第3种方式：其他价格调整方式：</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bookmarkEnd w:id="633"/>
    <w:bookmarkEnd w:id="634"/>
    <w:bookmarkEnd w:id="635"/>
    <w:bookmarkEnd w:id="636"/>
    <w:bookmarkEnd w:id="637"/>
    <w:bookmarkEnd w:id="638"/>
    <w:p>
      <w:pPr>
        <w:pStyle w:val="11"/>
        <w:spacing w:before="120" w:after="120" w:line="360" w:lineRule="auto"/>
        <w:rPr>
          <w:rFonts w:ascii="Times New Roman" w:hAnsi="Times New Roman" w:eastAsia="黑体"/>
          <w:b w:val="0"/>
          <w:color w:val="auto"/>
          <w:sz w:val="21"/>
          <w:szCs w:val="21"/>
          <w:highlight w:val="none"/>
        </w:rPr>
      </w:pPr>
      <w:bookmarkStart w:id="746" w:name="_Toc296891245"/>
      <w:bookmarkStart w:id="747" w:name="_Toc292559410"/>
      <w:bookmarkStart w:id="748" w:name="_Toc296346706"/>
      <w:bookmarkStart w:id="749" w:name="_Toc292559915"/>
      <w:bookmarkStart w:id="750" w:name="_Toc296503205"/>
      <w:bookmarkStart w:id="751" w:name="_Toc297120505"/>
      <w:bookmarkStart w:id="752" w:name="_Toc297048391"/>
      <w:bookmarkStart w:id="753" w:name="_Toc296944544"/>
      <w:bookmarkStart w:id="754" w:name="_Toc296891033"/>
      <w:bookmarkStart w:id="755" w:name="_Toc296347204"/>
      <w:bookmarkStart w:id="756" w:name="_Toc351203644"/>
      <w:bookmarkStart w:id="757" w:name="_Toc303539159"/>
      <w:bookmarkStart w:id="758" w:name="_Toc297123552"/>
      <w:bookmarkStart w:id="759" w:name="_Toc297216211"/>
      <w:bookmarkStart w:id="760" w:name="_Toc304295579"/>
      <w:bookmarkStart w:id="761" w:name="_Toc300935002"/>
      <w:bookmarkStart w:id="762" w:name="_Toc312678040"/>
      <w:r>
        <w:rPr>
          <w:rFonts w:ascii="Times New Roman" w:hAnsi="Times New Roman" w:eastAsia="黑体"/>
          <w:b w:val="0"/>
          <w:color w:val="auto"/>
          <w:sz w:val="21"/>
          <w:szCs w:val="21"/>
          <w:highlight w:val="none"/>
        </w:rPr>
        <w:t xml:space="preserve">12. </w:t>
      </w:r>
      <w:bookmarkEnd w:id="746"/>
      <w:bookmarkEnd w:id="747"/>
      <w:bookmarkEnd w:id="748"/>
      <w:bookmarkEnd w:id="749"/>
      <w:bookmarkEnd w:id="750"/>
      <w:bookmarkEnd w:id="751"/>
      <w:bookmarkEnd w:id="752"/>
      <w:bookmarkEnd w:id="753"/>
      <w:bookmarkEnd w:id="754"/>
      <w:bookmarkEnd w:id="755"/>
      <w:r>
        <w:rPr>
          <w:rFonts w:ascii="Times New Roman" w:hAnsi="Times New Roman" w:eastAsia="黑体"/>
          <w:b w:val="0"/>
          <w:color w:val="auto"/>
          <w:sz w:val="21"/>
          <w:szCs w:val="21"/>
          <w:highlight w:val="none"/>
        </w:rPr>
        <w:t>合同价格、计量与支付</w:t>
      </w:r>
      <w:bookmarkEnd w:id="756"/>
    </w:p>
    <w:bookmarkEnd w:id="757"/>
    <w:bookmarkEnd w:id="758"/>
    <w:bookmarkEnd w:id="759"/>
    <w:bookmarkEnd w:id="760"/>
    <w:bookmarkEnd w:id="761"/>
    <w:bookmarkEnd w:id="762"/>
    <w:p>
      <w:pPr>
        <w:spacing w:after="120" w:line="360" w:lineRule="auto"/>
        <w:ind w:firstLine="420" w:firstLineChars="200"/>
        <w:rPr>
          <w:rFonts w:ascii="Times New Roman" w:hAnsi="Times New Roman" w:eastAsia="黑体"/>
          <w:color w:val="auto"/>
          <w:sz w:val="21"/>
          <w:szCs w:val="21"/>
          <w:highlight w:val="none"/>
        </w:rPr>
      </w:pPr>
      <w:bookmarkStart w:id="763" w:name="_Toc292559411"/>
      <w:bookmarkStart w:id="764" w:name="_Toc267251461"/>
      <w:bookmarkStart w:id="765" w:name="_Toc292559916"/>
      <w:bookmarkStart w:id="766" w:name="_Toc296944545"/>
      <w:bookmarkStart w:id="767" w:name="_Toc296347205"/>
      <w:bookmarkStart w:id="768" w:name="_Toc296503206"/>
      <w:bookmarkStart w:id="769" w:name="_Toc296891246"/>
      <w:bookmarkStart w:id="770" w:name="_Toc297120506"/>
      <w:bookmarkStart w:id="771" w:name="_Toc296891034"/>
      <w:bookmarkStart w:id="772" w:name="_Toc296346707"/>
      <w:bookmarkStart w:id="773" w:name="_Toc297048392"/>
      <w:bookmarkStart w:id="774" w:name="_Toc303539160"/>
      <w:bookmarkStart w:id="775" w:name="_Toc297216212"/>
      <w:bookmarkStart w:id="776" w:name="_Toc312678041"/>
      <w:bookmarkStart w:id="777" w:name="_Toc297123553"/>
      <w:bookmarkStart w:id="778" w:name="_Toc304295580"/>
      <w:bookmarkStart w:id="779" w:name="_Toc300935003"/>
      <w:r>
        <w:rPr>
          <w:rFonts w:ascii="Times New Roman" w:hAnsi="Times New Roman" w:eastAsia="黑体"/>
          <w:color w:val="auto"/>
          <w:sz w:val="21"/>
          <w:szCs w:val="21"/>
          <w:highlight w:val="none"/>
        </w:rPr>
        <w:t>12.1 合</w:t>
      </w:r>
      <w:bookmarkEnd w:id="763"/>
      <w:bookmarkEnd w:id="764"/>
      <w:bookmarkEnd w:id="765"/>
      <w:r>
        <w:rPr>
          <w:rFonts w:ascii="Times New Roman" w:hAnsi="Times New Roman" w:eastAsia="黑体"/>
          <w:color w:val="auto"/>
          <w:sz w:val="21"/>
          <w:szCs w:val="21"/>
          <w:highlight w:val="none"/>
        </w:rPr>
        <w:t>同价</w:t>
      </w:r>
      <w:bookmarkEnd w:id="766"/>
      <w:bookmarkEnd w:id="767"/>
      <w:bookmarkEnd w:id="768"/>
      <w:bookmarkEnd w:id="769"/>
      <w:bookmarkEnd w:id="770"/>
      <w:bookmarkEnd w:id="771"/>
      <w:bookmarkEnd w:id="772"/>
      <w:bookmarkEnd w:id="773"/>
      <w:r>
        <w:rPr>
          <w:rFonts w:ascii="Times New Roman" w:hAnsi="Times New Roman" w:eastAsia="黑体"/>
          <w:color w:val="auto"/>
          <w:sz w:val="21"/>
          <w:szCs w:val="21"/>
          <w:highlight w:val="none"/>
        </w:rPr>
        <w:t>格形式</w:t>
      </w:r>
    </w:p>
    <w:bookmarkEnd w:id="774"/>
    <w:bookmarkEnd w:id="775"/>
    <w:bookmarkEnd w:id="776"/>
    <w:bookmarkEnd w:id="777"/>
    <w:bookmarkEnd w:id="778"/>
    <w:bookmarkEnd w:id="779"/>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1、单价合同。</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综合单价包含的风险范围：</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风险费用的计算方法：</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风险范围以外合同价格的调整方法：</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2、总价合同。</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总价包含的风险范围：</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风险费用的计算方法：</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hint="eastAsia"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风险范围以外合同价格的调整方法：</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3、其他价格方式：</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bookmarkStart w:id="780" w:name="_Toc297216213"/>
      <w:bookmarkStart w:id="781" w:name="_Toc297123554"/>
      <w:bookmarkStart w:id="782" w:name="_Toc312678042"/>
      <w:bookmarkStart w:id="783" w:name="_Toc303539161"/>
      <w:bookmarkStart w:id="784" w:name="_Toc304295581"/>
      <w:bookmarkStart w:id="785" w:name="_Toc300935004"/>
      <w:bookmarkStart w:id="786" w:name="_Toc292559412"/>
      <w:bookmarkStart w:id="787" w:name="_Toc297120507"/>
      <w:bookmarkStart w:id="788" w:name="_Toc296503207"/>
      <w:bookmarkStart w:id="789" w:name="_Toc296891247"/>
      <w:bookmarkStart w:id="790" w:name="_Toc296347206"/>
      <w:bookmarkStart w:id="791" w:name="_Toc297048393"/>
      <w:bookmarkStart w:id="792" w:name="_Toc296891035"/>
      <w:bookmarkStart w:id="793" w:name="_Toc292559917"/>
      <w:bookmarkStart w:id="794" w:name="_Toc296346708"/>
      <w:bookmarkStart w:id="795" w:name="_Toc296944546"/>
      <w:r>
        <w:rPr>
          <w:rFonts w:ascii="Times New Roman" w:hAnsi="Times New Roman" w:eastAsia="黑体"/>
          <w:color w:val="auto"/>
          <w:sz w:val="21"/>
          <w:szCs w:val="21"/>
          <w:highlight w:val="none"/>
        </w:rPr>
        <w:t>12.2 预付款</w:t>
      </w:r>
    </w:p>
    <w:bookmarkEnd w:id="780"/>
    <w:bookmarkEnd w:id="781"/>
    <w:bookmarkEnd w:id="782"/>
    <w:bookmarkEnd w:id="783"/>
    <w:bookmarkEnd w:id="784"/>
    <w:bookmarkEnd w:id="785"/>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12.2.1 预付款的支付</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预付款支付比例或金额：</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预付款支付期限：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预付款扣回的方式：</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12.2.2 预付款担保</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承包人提交预付款担保的期限：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预付款担保的形式为：</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bookmarkEnd w:id="786"/>
    <w:bookmarkEnd w:id="787"/>
    <w:bookmarkEnd w:id="788"/>
    <w:bookmarkEnd w:id="789"/>
    <w:bookmarkEnd w:id="790"/>
    <w:bookmarkEnd w:id="791"/>
    <w:bookmarkEnd w:id="792"/>
    <w:bookmarkEnd w:id="793"/>
    <w:bookmarkEnd w:id="794"/>
    <w:bookmarkEnd w:id="795"/>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12.3 计量</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12.3.1 计量原则</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工程量计算规则：</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12.3.2 计量周期</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关于计量周期的约定：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12.3.3 单价合同的计量</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关于单价合同计量的约定：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12.3.4 总价合同的计量</w:t>
      </w:r>
    </w:p>
    <w:p>
      <w:pPr>
        <w:spacing w:line="360" w:lineRule="auto"/>
        <w:ind w:firstLine="420" w:firstLineChars="200"/>
        <w:jc w:val="left"/>
        <w:rPr>
          <w:rFonts w:hint="eastAsia"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关于总价合同计量的约定：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12.3.5总价合同采用支付分解表计量支付的，是否适用第</w:t>
      </w:r>
      <w:r>
        <w:rPr>
          <w:rFonts w:ascii="Times New Roman" w:hAnsi="Times New Roman" w:eastAsia="仿宋_GB2312"/>
          <w:color w:val="auto"/>
          <w:kern w:val="0"/>
          <w:sz w:val="21"/>
          <w:szCs w:val="21"/>
          <w:highlight w:val="none"/>
        </w:rPr>
        <w:t xml:space="preserve">12.3.4 </w:t>
      </w:r>
      <w:r>
        <w:rPr>
          <w:rFonts w:ascii="Times New Roman" w:hAnsi="Times New Roman" w:eastAsia="仿宋_GB2312"/>
          <w:color w:val="auto"/>
          <w:sz w:val="21"/>
          <w:szCs w:val="21"/>
          <w:highlight w:val="none"/>
        </w:rPr>
        <w:t>项</w:t>
      </w:r>
      <w:r>
        <w:rPr>
          <w:rFonts w:hint="eastAsia" w:ascii="Times New Roman" w:hAnsi="Times New Roman" w:eastAsia="仿宋_GB2312"/>
          <w:color w:val="auto"/>
          <w:kern w:val="0"/>
          <w:sz w:val="21"/>
          <w:szCs w:val="21"/>
          <w:highlight w:val="none"/>
        </w:rPr>
        <w:t>〔</w:t>
      </w:r>
      <w:r>
        <w:rPr>
          <w:rFonts w:ascii="Times New Roman" w:hAnsi="Times New Roman" w:eastAsia="仿宋_GB2312"/>
          <w:color w:val="auto"/>
          <w:kern w:val="0"/>
          <w:sz w:val="21"/>
          <w:szCs w:val="21"/>
          <w:highlight w:val="none"/>
        </w:rPr>
        <w:t>总价合同的计量</w:t>
      </w:r>
      <w:r>
        <w:rPr>
          <w:rFonts w:hint="eastAsia" w:ascii="Times New Roman" w:hAnsi="Times New Roman" w:eastAsia="仿宋_GB2312"/>
          <w:color w:val="auto"/>
          <w:kern w:val="0"/>
          <w:sz w:val="21"/>
          <w:szCs w:val="21"/>
          <w:highlight w:val="none"/>
        </w:rPr>
        <w:t>〕</w:t>
      </w:r>
      <w:r>
        <w:rPr>
          <w:rFonts w:ascii="Times New Roman" w:hAnsi="Times New Roman" w:eastAsia="仿宋_GB2312"/>
          <w:color w:val="auto"/>
          <w:sz w:val="21"/>
          <w:szCs w:val="21"/>
          <w:highlight w:val="none"/>
        </w:rPr>
        <w:t>约定</w:t>
      </w:r>
      <w:r>
        <w:rPr>
          <w:rFonts w:hint="eastAsia" w:ascii="Times New Roman" w:hAnsi="Times New Roman" w:eastAsia="仿宋_GB2312"/>
          <w:color w:val="auto"/>
          <w:sz w:val="21"/>
          <w:szCs w:val="21"/>
          <w:highlight w:val="none"/>
        </w:rPr>
        <w:t>进行计量：</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12.3.6 其他价格形式合同的计量</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其他价格形式的计量方式和程序：</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12.4 工程进度款支付</w:t>
      </w:r>
    </w:p>
    <w:p>
      <w:pPr>
        <w:spacing w:line="360" w:lineRule="auto"/>
        <w:ind w:firstLine="420" w:firstLineChars="200"/>
        <w:jc w:val="left"/>
        <w:rPr>
          <w:rFonts w:ascii="Times New Roman" w:hAnsi="Times New Roman" w:eastAsia="仿宋_GB2312"/>
          <w:color w:val="auto"/>
          <w:sz w:val="21"/>
          <w:szCs w:val="21"/>
          <w:highlight w:val="none"/>
        </w:rPr>
      </w:pPr>
      <w:bookmarkStart w:id="796" w:name="_Toc296944550"/>
      <w:bookmarkStart w:id="797" w:name="_Toc297120511"/>
      <w:bookmarkStart w:id="798" w:name="_Toc296891251"/>
      <w:bookmarkStart w:id="799" w:name="_Toc292559416"/>
      <w:bookmarkStart w:id="800" w:name="_Toc297123556"/>
      <w:bookmarkStart w:id="801" w:name="_Toc303539163"/>
      <w:bookmarkStart w:id="802" w:name="_Toc297048397"/>
      <w:bookmarkStart w:id="803" w:name="_Toc296503211"/>
      <w:bookmarkStart w:id="804" w:name="_Toc297216215"/>
      <w:bookmarkStart w:id="805" w:name="_Toc296346712"/>
      <w:bookmarkStart w:id="806" w:name="_Toc300935006"/>
      <w:bookmarkStart w:id="807" w:name="_Toc296347210"/>
      <w:bookmarkStart w:id="808" w:name="_Toc292559921"/>
      <w:bookmarkStart w:id="809" w:name="_Toc296891039"/>
      <w:r>
        <w:rPr>
          <w:rFonts w:ascii="Times New Roman" w:hAnsi="Times New Roman" w:eastAsia="仿宋_GB2312"/>
          <w:color w:val="auto"/>
          <w:sz w:val="21"/>
          <w:szCs w:val="21"/>
          <w:highlight w:val="none"/>
        </w:rPr>
        <w:t>12.4.1 付款周期</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关于付款周期的约定：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12.4.2 进度付款申请单的编制</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关于进度付款申请单编制的约定：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Fonts w:ascii="Times New Roman" w:hAnsi="Times New Roman" w:eastAsia="仿宋_GB2312"/>
          <w:color w:val="auto"/>
          <w:sz w:val="21"/>
          <w:szCs w:val="21"/>
          <w:highlight w:val="none"/>
        </w:rPr>
        <w:t>2.4.3 进度付款申请单的提交</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（1）单价合同进度付款申请单提交的约定</w:t>
      </w:r>
      <w:r>
        <w:rPr>
          <w:rFonts w:hint="eastAsia" w:ascii="Times New Roman" w:hAnsi="Times New Roman" w:eastAsia="仿宋_GB2312"/>
          <w:color w:val="auto"/>
          <w:sz w:val="21"/>
          <w:szCs w:val="21"/>
          <w:highlight w:val="none"/>
        </w:rPr>
        <w:t>：</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（2）总价合同进度付款申请单提交的约定</w:t>
      </w:r>
      <w:r>
        <w:rPr>
          <w:rFonts w:hint="eastAsia" w:ascii="Times New Roman" w:hAnsi="Times New Roman" w:eastAsia="仿宋_GB2312"/>
          <w:color w:val="auto"/>
          <w:sz w:val="21"/>
          <w:szCs w:val="21"/>
          <w:highlight w:val="none"/>
        </w:rPr>
        <w:t>：</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（3）其他价格形式合同进度付款申请单提交的约定：</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12.4.4 进度款审核和支付</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（1）监理人审查并报送发包人的期限：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发包人完成审批并签发进度款支付证书的期限：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（2）发包人支付进度款的期限：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525" w:firstLineChars="25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发包人逾期支付进度款的违约金的计算方式：</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p>
    <w:p>
      <w:pPr>
        <w:spacing w:line="360" w:lineRule="auto"/>
        <w:jc w:val="left"/>
        <w:rPr>
          <w:rFonts w:hint="eastAsia"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525" w:firstLineChars="250"/>
        <w:jc w:val="left"/>
        <w:rPr>
          <w:rFonts w:hint="eastAsia"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12.4.6 支付分解表的编制</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2、总价合同支付分解表的编制与审批：</w:t>
      </w:r>
      <w:r>
        <w:rPr>
          <w:rFonts w:ascii="Times New Roman" w:hAnsi="Times New Roman" w:eastAsia="仿宋_GB2312"/>
          <w:color w:val="auto"/>
          <w:sz w:val="21"/>
          <w:szCs w:val="21"/>
          <w:highlight w:val="none"/>
          <w:u w:val="single"/>
        </w:rPr>
        <w:t xml:space="preserve">                  </w:t>
      </w:r>
    </w:p>
    <w:p>
      <w:pPr>
        <w:spacing w:line="360" w:lineRule="auto"/>
        <w:ind w:left="6000" w:hanging="4200" w:hangingChars="20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3、单价合同的总价项目支付分解表的编制与审批：</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bookmarkEnd w:id="639"/>
    <w:p>
      <w:pPr>
        <w:pStyle w:val="11"/>
        <w:spacing w:before="120" w:after="120" w:line="360" w:lineRule="auto"/>
        <w:rPr>
          <w:rFonts w:ascii="Times New Roman" w:hAnsi="Times New Roman" w:eastAsia="黑体"/>
          <w:b w:val="0"/>
          <w:color w:val="auto"/>
          <w:sz w:val="21"/>
          <w:szCs w:val="21"/>
          <w:highlight w:val="none"/>
        </w:rPr>
      </w:pPr>
      <w:bookmarkStart w:id="810" w:name="_Toc351203645"/>
      <w:bookmarkStart w:id="811" w:name="_Toc292559424"/>
      <w:bookmarkStart w:id="812" w:name="_Toc303539172"/>
      <w:bookmarkStart w:id="813" w:name="_Toc296944558"/>
      <w:bookmarkStart w:id="814" w:name="_Toc304295593"/>
      <w:bookmarkStart w:id="815" w:name="_Toc297123564"/>
      <w:bookmarkStart w:id="816" w:name="_Toc296891259"/>
      <w:bookmarkStart w:id="817" w:name="_Toc297216223"/>
      <w:bookmarkStart w:id="818" w:name="_Toc296503219"/>
      <w:bookmarkStart w:id="819" w:name="_Toc300935015"/>
      <w:bookmarkStart w:id="820" w:name="_Toc296891047"/>
      <w:bookmarkStart w:id="821" w:name="_Toc297120519"/>
      <w:bookmarkStart w:id="822" w:name="_Toc292559929"/>
      <w:bookmarkStart w:id="823" w:name="_Toc296347218"/>
      <w:bookmarkStart w:id="824" w:name="_Toc312678053"/>
      <w:bookmarkStart w:id="825" w:name="_Toc296346720"/>
      <w:bookmarkStart w:id="826" w:name="_Toc297048405"/>
      <w:r>
        <w:rPr>
          <w:rFonts w:ascii="Times New Roman" w:hAnsi="Times New Roman" w:eastAsia="黑体"/>
          <w:b w:val="0"/>
          <w:color w:val="auto"/>
          <w:sz w:val="21"/>
          <w:szCs w:val="21"/>
          <w:highlight w:val="none"/>
        </w:rPr>
        <w:t>13.</w:t>
      </w:r>
      <w:r>
        <w:rPr>
          <w:rFonts w:hint="eastAsia" w:ascii="Times New Roman" w:hAnsi="Times New Roman" w:eastAsia="黑体"/>
          <w:b w:val="0"/>
          <w:color w:val="auto"/>
          <w:sz w:val="21"/>
          <w:szCs w:val="21"/>
          <w:highlight w:val="none"/>
        </w:rPr>
        <w:t xml:space="preserve"> </w:t>
      </w:r>
      <w:r>
        <w:rPr>
          <w:rFonts w:ascii="Times New Roman" w:hAnsi="Times New Roman" w:eastAsia="黑体"/>
          <w:b w:val="0"/>
          <w:color w:val="auto"/>
          <w:sz w:val="21"/>
          <w:szCs w:val="21"/>
          <w:highlight w:val="none"/>
        </w:rPr>
        <w:t>验收和工程试车</w:t>
      </w:r>
      <w:bookmarkEnd w:id="810"/>
    </w:p>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13.1 分部分项工程验收</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13.1.2监理人不能按时进行验收时，应提前</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小时提交书面延期要求。</w:t>
      </w:r>
    </w:p>
    <w:p>
      <w:pPr>
        <w:spacing w:line="360" w:lineRule="auto"/>
        <w:ind w:firstLine="420" w:firstLineChars="200"/>
        <w:jc w:val="left"/>
        <w:rPr>
          <w:rFonts w:ascii="Times New Roman" w:hAnsi="Times New Roman" w:eastAsia="仿宋_GB2312"/>
          <w:b/>
          <w:color w:val="auto"/>
          <w:sz w:val="21"/>
          <w:szCs w:val="21"/>
          <w:highlight w:val="none"/>
        </w:rPr>
      </w:pPr>
      <w:r>
        <w:rPr>
          <w:rFonts w:ascii="Times New Roman" w:hAnsi="Times New Roman" w:eastAsia="仿宋_GB2312"/>
          <w:color w:val="auto"/>
          <w:sz w:val="21"/>
          <w:szCs w:val="21"/>
          <w:highlight w:val="none"/>
        </w:rPr>
        <w:t>关于延期最长不得超过：</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小时。</w:t>
      </w:r>
    </w:p>
    <w:p>
      <w:pPr>
        <w:spacing w:after="120" w:line="360" w:lineRule="auto"/>
        <w:ind w:firstLine="420" w:firstLineChars="200"/>
        <w:rPr>
          <w:rFonts w:ascii="Times New Roman" w:hAnsi="Times New Roman" w:eastAsia="黑体"/>
          <w:color w:val="auto"/>
          <w:sz w:val="21"/>
          <w:szCs w:val="21"/>
          <w:highlight w:val="none"/>
        </w:rPr>
      </w:pPr>
      <w:bookmarkStart w:id="827" w:name="_Toc296944562"/>
      <w:bookmarkStart w:id="828" w:name="_Toc297123565"/>
      <w:bookmarkStart w:id="829" w:name="_Toc296346724"/>
      <w:bookmarkStart w:id="830" w:name="_Toc292559428"/>
      <w:bookmarkStart w:id="831" w:name="_Toc304295596"/>
      <w:bookmarkStart w:id="832" w:name="_Toc296503223"/>
      <w:bookmarkStart w:id="833" w:name="_Toc297048409"/>
      <w:bookmarkStart w:id="834" w:name="_Toc300935016"/>
      <w:bookmarkStart w:id="835" w:name="_Toc297120523"/>
      <w:bookmarkStart w:id="836" w:name="_Toc312678056"/>
      <w:bookmarkStart w:id="837" w:name="_Toc292559933"/>
      <w:bookmarkStart w:id="838" w:name="_Toc296347222"/>
      <w:bookmarkStart w:id="839" w:name="_Toc296891051"/>
      <w:bookmarkStart w:id="840" w:name="_Toc296891263"/>
      <w:bookmarkStart w:id="841" w:name="_Toc303539173"/>
      <w:bookmarkStart w:id="842" w:name="_Toc297216224"/>
      <w:bookmarkStart w:id="843" w:name="_Toc267251472"/>
      <w:bookmarkStart w:id="844" w:name="_Toc267251473"/>
      <w:bookmarkStart w:id="845" w:name="_Toc267251471"/>
      <w:bookmarkStart w:id="846" w:name="_Toc267251475"/>
      <w:bookmarkStart w:id="847" w:name="_Toc267251474"/>
      <w:bookmarkStart w:id="848" w:name="_Toc267251470"/>
      <w:bookmarkStart w:id="849" w:name="_Toc267251476"/>
      <w:r>
        <w:rPr>
          <w:rFonts w:ascii="Times New Roman" w:hAnsi="Times New Roman" w:eastAsia="黑体"/>
          <w:color w:val="auto"/>
          <w:sz w:val="21"/>
          <w:szCs w:val="21"/>
          <w:highlight w:val="none"/>
        </w:rPr>
        <w:t>13.2 竣工验收</w:t>
      </w:r>
    </w:p>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Pr>
        <w:spacing w:line="360" w:lineRule="auto"/>
        <w:ind w:firstLine="420" w:firstLineChars="200"/>
        <w:jc w:val="left"/>
        <w:rPr>
          <w:rFonts w:ascii="Times New Roman" w:hAnsi="Times New Roman" w:eastAsia="仿宋_GB2312"/>
          <w:color w:val="auto"/>
          <w:sz w:val="21"/>
          <w:szCs w:val="21"/>
          <w:highlight w:val="none"/>
        </w:rPr>
      </w:pPr>
      <w:bookmarkStart w:id="850" w:name="_Toc280868704"/>
      <w:bookmarkStart w:id="851" w:name="_Toc280868705"/>
      <w:bookmarkStart w:id="852" w:name="_Toc280868706"/>
      <w:bookmarkStart w:id="853" w:name="_Toc280868707"/>
      <w:bookmarkStart w:id="854" w:name="_Toc280868708"/>
      <w:bookmarkStart w:id="855" w:name="_Toc280868709"/>
      <w:r>
        <w:rPr>
          <w:rFonts w:ascii="Times New Roman" w:hAnsi="Times New Roman" w:eastAsia="仿宋_GB2312"/>
          <w:color w:val="auto"/>
          <w:sz w:val="21"/>
          <w:szCs w:val="21"/>
          <w:highlight w:val="none"/>
        </w:rPr>
        <w:t>13.2.2竣工验收程序</w:t>
      </w:r>
    </w:p>
    <w:bookmarkEnd w:id="850"/>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kern w:val="0"/>
          <w:sz w:val="21"/>
          <w:szCs w:val="21"/>
          <w:highlight w:val="none"/>
        </w:rPr>
        <w:t>关于竣工验收程序的约定：</w:t>
      </w:r>
      <w:r>
        <w:rPr>
          <w:rFonts w:ascii="Times New Roman" w:hAnsi="Times New Roman" w:eastAsia="仿宋_GB2312"/>
          <w:color w:val="auto"/>
          <w:sz w:val="21"/>
          <w:szCs w:val="21"/>
          <w:highlight w:val="none"/>
          <w:u w:val="single"/>
        </w:rPr>
        <w:t xml:space="preserve">                              </w:t>
      </w:r>
    </w:p>
    <w:p>
      <w:pPr>
        <w:spacing w:line="360" w:lineRule="auto"/>
        <w:ind w:left="6000" w:hanging="4200" w:hangingChars="20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kern w:val="0"/>
          <w:sz w:val="21"/>
          <w:szCs w:val="21"/>
          <w:highlight w:val="none"/>
        </w:rPr>
        <w:t>发包人不按照本项约定组织竣工验收、颁发工程接收证书的违约金的计算方法：</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hint="eastAsia"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bookmarkEnd w:id="851"/>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13.2.5移交、接收全部与部分工程</w:t>
      </w:r>
    </w:p>
    <w:bookmarkEnd w:id="852"/>
    <w:p>
      <w:pPr>
        <w:spacing w:line="360" w:lineRule="auto"/>
        <w:ind w:firstLine="420" w:firstLineChars="200"/>
        <w:jc w:val="left"/>
        <w:rPr>
          <w:rFonts w:hint="eastAsia" w:ascii="Times New Roman" w:hAnsi="Times New Roman" w:eastAsia="仿宋_GB2312"/>
          <w:color w:val="auto"/>
          <w:kern w:val="0"/>
          <w:sz w:val="21"/>
          <w:szCs w:val="21"/>
          <w:highlight w:val="none"/>
        </w:rPr>
      </w:pPr>
      <w:r>
        <w:rPr>
          <w:rFonts w:hint="eastAsia" w:ascii="Times New Roman" w:hAnsi="Times New Roman" w:eastAsia="仿宋_GB2312"/>
          <w:color w:val="auto"/>
          <w:kern w:val="0"/>
          <w:sz w:val="21"/>
          <w:szCs w:val="21"/>
          <w:highlight w:val="none"/>
        </w:rPr>
        <w:t>承包人向发包人移交工程的期限：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kern w:val="0"/>
          <w:sz w:val="21"/>
          <w:szCs w:val="21"/>
          <w:highlight w:val="none"/>
        </w:rPr>
        <w:t>发包人未按本合同约定接收全部或部分工程的，违约金的计算方法为：</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bookmarkEnd w:id="853"/>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承包人未按时移交工程的，违约金的计算方法为：</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13.3 工程试车</w:t>
      </w:r>
    </w:p>
    <w:bookmarkEnd w:id="854"/>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13.3.1 试车程序</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kern w:val="0"/>
          <w:sz w:val="21"/>
          <w:szCs w:val="21"/>
          <w:highlight w:val="none"/>
        </w:rPr>
        <w:t>工程试车内容：</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kern w:val="0"/>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（1）单机无负荷试车费用由</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kern w:val="0"/>
          <w:sz w:val="21"/>
          <w:szCs w:val="21"/>
          <w:highlight w:val="none"/>
        </w:rPr>
        <w:t>承担；</w:t>
      </w:r>
    </w:p>
    <w:p>
      <w:pPr>
        <w:spacing w:line="360" w:lineRule="auto"/>
        <w:ind w:firstLine="420" w:firstLineChars="200"/>
        <w:jc w:val="left"/>
        <w:rPr>
          <w:rFonts w:hint="eastAsia"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（2）无负荷联动试车费用由</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kern w:val="0"/>
          <w:sz w:val="21"/>
          <w:szCs w:val="21"/>
          <w:highlight w:val="none"/>
        </w:rPr>
        <w:t>承担。</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13.3.3 投料试车</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hint="eastAsia" w:ascii="Times New Roman" w:hAnsi="Times New Roman" w:eastAsia="仿宋_GB2312"/>
          <w:color w:val="auto"/>
          <w:kern w:val="0"/>
          <w:sz w:val="21"/>
          <w:szCs w:val="21"/>
          <w:highlight w:val="none"/>
        </w:rPr>
        <w:t>关于投料试车相关事项的约定：</w:t>
      </w:r>
      <w:r>
        <w:rPr>
          <w:rFonts w:hint="eastAsia"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kern w:val="0"/>
          <w:sz w:val="21"/>
          <w:szCs w:val="21"/>
          <w:highlight w:val="none"/>
        </w:rPr>
      </w:pP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13.6 竣工退场</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13.6.1 竣工退场</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承包人完成竣工退场的期限：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kern w:val="0"/>
          <w:sz w:val="21"/>
          <w:szCs w:val="21"/>
          <w:highlight w:val="none"/>
        </w:rPr>
        <w:t>。</w:t>
      </w:r>
    </w:p>
    <w:p>
      <w:pPr>
        <w:pStyle w:val="11"/>
        <w:spacing w:before="120" w:after="120" w:line="360" w:lineRule="auto"/>
        <w:rPr>
          <w:rFonts w:ascii="Times New Roman" w:hAnsi="Times New Roman" w:eastAsia="黑体"/>
          <w:b w:val="0"/>
          <w:color w:val="auto"/>
          <w:sz w:val="21"/>
          <w:szCs w:val="21"/>
          <w:highlight w:val="none"/>
        </w:rPr>
      </w:pPr>
      <w:bookmarkStart w:id="856" w:name="_Toc351203646"/>
      <w:r>
        <w:rPr>
          <w:rFonts w:ascii="Times New Roman" w:hAnsi="Times New Roman" w:eastAsia="黑体"/>
          <w:b w:val="0"/>
          <w:color w:val="auto"/>
          <w:sz w:val="21"/>
          <w:szCs w:val="21"/>
          <w:highlight w:val="none"/>
        </w:rPr>
        <w:t>14. 竣工结算</w:t>
      </w:r>
      <w:bookmarkEnd w:id="856"/>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14.1 竣工</w:t>
      </w:r>
      <w:r>
        <w:rPr>
          <w:rFonts w:hint="eastAsia" w:ascii="Times New Roman" w:hAnsi="Times New Roman" w:eastAsia="黑体"/>
          <w:color w:val="auto"/>
          <w:sz w:val="21"/>
          <w:szCs w:val="21"/>
          <w:highlight w:val="none"/>
        </w:rPr>
        <w:t>结算</w:t>
      </w:r>
      <w:r>
        <w:rPr>
          <w:rFonts w:ascii="Times New Roman" w:hAnsi="Times New Roman" w:eastAsia="黑体"/>
          <w:color w:val="auto"/>
          <w:sz w:val="21"/>
          <w:szCs w:val="21"/>
          <w:highlight w:val="none"/>
        </w:rPr>
        <w:t>申请</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承包人提交竣工</w:t>
      </w:r>
      <w:r>
        <w:rPr>
          <w:rFonts w:hint="eastAsia" w:ascii="Times New Roman" w:hAnsi="Times New Roman" w:eastAsia="仿宋_GB2312"/>
          <w:color w:val="auto"/>
          <w:sz w:val="21"/>
          <w:szCs w:val="21"/>
          <w:highlight w:val="none"/>
        </w:rPr>
        <w:t>结算</w:t>
      </w:r>
      <w:r>
        <w:rPr>
          <w:rFonts w:ascii="Times New Roman" w:hAnsi="Times New Roman" w:eastAsia="仿宋_GB2312"/>
          <w:color w:val="auto"/>
          <w:sz w:val="21"/>
          <w:szCs w:val="21"/>
          <w:highlight w:val="none"/>
        </w:rPr>
        <w:t>申请单的期限：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竣工</w:t>
      </w:r>
      <w:r>
        <w:rPr>
          <w:rFonts w:hint="eastAsia" w:ascii="Times New Roman" w:hAnsi="Times New Roman" w:eastAsia="仿宋_GB2312"/>
          <w:color w:val="auto"/>
          <w:sz w:val="21"/>
          <w:szCs w:val="21"/>
          <w:highlight w:val="none"/>
        </w:rPr>
        <w:t>结算</w:t>
      </w:r>
      <w:r>
        <w:rPr>
          <w:rFonts w:ascii="Times New Roman" w:hAnsi="Times New Roman" w:eastAsia="仿宋_GB2312"/>
          <w:color w:val="auto"/>
          <w:sz w:val="21"/>
          <w:szCs w:val="21"/>
          <w:highlight w:val="none"/>
        </w:rPr>
        <w:t>申请单应包括的内容：</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14.2 竣工结算审核</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发包人</w:t>
      </w:r>
      <w:r>
        <w:rPr>
          <w:rFonts w:hint="eastAsia" w:ascii="Times New Roman" w:hAnsi="Times New Roman" w:eastAsia="仿宋_GB2312"/>
          <w:color w:val="auto"/>
          <w:sz w:val="21"/>
          <w:szCs w:val="21"/>
          <w:highlight w:val="none"/>
        </w:rPr>
        <w:t>审批</w:t>
      </w:r>
      <w:r>
        <w:rPr>
          <w:rFonts w:ascii="Times New Roman" w:hAnsi="Times New Roman" w:eastAsia="仿宋_GB2312"/>
          <w:color w:val="auto"/>
          <w:sz w:val="21"/>
          <w:szCs w:val="21"/>
          <w:highlight w:val="none"/>
        </w:rPr>
        <w:t>竣工付款申请单的期限：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hint="eastAsia"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发包人完成竣工付款的期限：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hint="eastAsia" w:ascii="Times New Roman" w:hAnsi="Times New Roman" w:eastAsia="仿宋_GB2312"/>
          <w:color w:val="auto"/>
          <w:sz w:val="21"/>
          <w:szCs w:val="21"/>
          <w:highlight w:val="none"/>
        </w:rPr>
        <w:t>关于竣工付款证书异议部分复核的方式和程序：</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14.4 最终结清</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14.4.1 最终结清申请单</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承包人提交最终结清申请单的份数：</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kern w:val="0"/>
          <w:sz w:val="21"/>
          <w:szCs w:val="21"/>
          <w:highlight w:val="none"/>
        </w:rPr>
        <w:t>承包人提交最终结算申请单的期限：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 xml:space="preserve">。 </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14.4.2 最终结清证书和支付</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（1）发包人完成最终结清申请单的</w:t>
      </w:r>
      <w:r>
        <w:rPr>
          <w:rFonts w:hint="eastAsia" w:ascii="Times New Roman" w:hAnsi="Times New Roman" w:eastAsia="仿宋_GB2312"/>
          <w:color w:val="auto"/>
          <w:sz w:val="21"/>
          <w:szCs w:val="21"/>
          <w:highlight w:val="none"/>
        </w:rPr>
        <w:t>审批</w:t>
      </w:r>
      <w:r>
        <w:rPr>
          <w:rFonts w:ascii="Times New Roman" w:hAnsi="Times New Roman" w:eastAsia="仿宋_GB2312"/>
          <w:color w:val="auto"/>
          <w:sz w:val="21"/>
          <w:szCs w:val="21"/>
          <w:highlight w:val="none"/>
        </w:rPr>
        <w:t>并颁发最终结清证书的期限：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（2）发包人完成支付的期限：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bookmarkEnd w:id="843"/>
    <w:bookmarkEnd w:id="844"/>
    <w:bookmarkEnd w:id="845"/>
    <w:bookmarkEnd w:id="846"/>
    <w:bookmarkEnd w:id="847"/>
    <w:bookmarkEnd w:id="848"/>
    <w:bookmarkEnd w:id="849"/>
    <w:bookmarkEnd w:id="855"/>
    <w:p>
      <w:pPr>
        <w:pStyle w:val="11"/>
        <w:spacing w:before="120" w:after="120" w:line="360" w:lineRule="auto"/>
        <w:rPr>
          <w:rFonts w:ascii="Times New Roman" w:hAnsi="Times New Roman" w:eastAsia="黑体"/>
          <w:b w:val="0"/>
          <w:color w:val="auto"/>
          <w:sz w:val="21"/>
          <w:szCs w:val="21"/>
          <w:highlight w:val="none"/>
        </w:rPr>
      </w:pPr>
      <w:bookmarkStart w:id="857" w:name="_Toc351203647"/>
      <w:bookmarkStart w:id="858" w:name="_Toc267251483"/>
      <w:bookmarkStart w:id="859" w:name="_Toc267251482"/>
      <w:bookmarkStart w:id="860" w:name="_Toc267251484"/>
      <w:bookmarkStart w:id="861" w:name="_Toc267251485"/>
      <w:bookmarkStart w:id="862" w:name="_Toc267251490"/>
      <w:bookmarkStart w:id="863" w:name="_Toc267251486"/>
      <w:bookmarkStart w:id="864" w:name="_Toc267251489"/>
      <w:bookmarkStart w:id="865" w:name="_Toc267251488"/>
      <w:bookmarkStart w:id="866" w:name="_Toc267251501"/>
      <w:bookmarkStart w:id="867" w:name="_Toc267251494"/>
      <w:bookmarkStart w:id="868" w:name="_Toc267251492"/>
      <w:bookmarkStart w:id="869" w:name="_Toc267251491"/>
      <w:bookmarkStart w:id="870" w:name="_Toc267251498"/>
      <w:bookmarkStart w:id="871" w:name="_Toc267251495"/>
      <w:bookmarkStart w:id="872" w:name="_Toc267251497"/>
      <w:bookmarkStart w:id="873" w:name="_Toc267251496"/>
      <w:bookmarkStart w:id="874" w:name="_Toc267251503"/>
      <w:bookmarkStart w:id="875" w:name="_Toc267251502"/>
      <w:bookmarkStart w:id="876" w:name="_Toc267251499"/>
      <w:bookmarkStart w:id="877" w:name="_Toc267251493"/>
      <w:bookmarkStart w:id="878" w:name="_Toc267251504"/>
      <w:bookmarkStart w:id="879" w:name="_Toc267251506"/>
      <w:bookmarkStart w:id="880" w:name="_Toc267251507"/>
      <w:bookmarkStart w:id="881" w:name="_Toc267251508"/>
      <w:bookmarkStart w:id="882" w:name="_Toc267251515"/>
      <w:bookmarkStart w:id="883" w:name="_Toc267251513"/>
      <w:bookmarkStart w:id="884" w:name="_Toc267251511"/>
      <w:bookmarkStart w:id="885" w:name="_Toc267251514"/>
      <w:bookmarkStart w:id="886" w:name="_Toc267251509"/>
      <w:bookmarkStart w:id="887" w:name="_Toc267251510"/>
      <w:r>
        <w:rPr>
          <w:rFonts w:ascii="Times New Roman" w:hAnsi="Times New Roman" w:eastAsia="黑体"/>
          <w:b w:val="0"/>
          <w:color w:val="auto"/>
          <w:sz w:val="21"/>
          <w:szCs w:val="21"/>
          <w:highlight w:val="none"/>
        </w:rPr>
        <w:t>15. 缺陷责任期与保修</w:t>
      </w:r>
      <w:bookmarkEnd w:id="857"/>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15.2缺陷责任期</w:t>
      </w:r>
      <w:bookmarkEnd w:id="858"/>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缺陷责任期的具体期限：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15.3 质量保证金</w:t>
      </w:r>
    </w:p>
    <w:p>
      <w:pPr>
        <w:spacing w:line="360" w:lineRule="auto"/>
        <w:ind w:firstLine="420" w:firstLineChars="200"/>
        <w:jc w:val="left"/>
        <w:rPr>
          <w:rFonts w:eastAsia="仿宋_GB2312"/>
          <w:color w:val="auto"/>
          <w:sz w:val="21"/>
          <w:szCs w:val="21"/>
          <w:highlight w:val="none"/>
        </w:rPr>
      </w:pPr>
      <w:r>
        <w:rPr>
          <w:rFonts w:hint="eastAsia" w:ascii="Times New Roman" w:hAnsi="Times New Roman" w:eastAsia="仿宋_GB2312"/>
          <w:color w:val="auto"/>
          <w:sz w:val="21"/>
          <w:szCs w:val="21"/>
          <w:highlight w:val="none"/>
        </w:rPr>
        <w:t>关于是否扣留质量保证金的约定：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r>
        <w:rPr>
          <w:rFonts w:hint="eastAsia" w:eastAsia="仿宋_GB2312"/>
          <w:color w:val="auto"/>
          <w:sz w:val="21"/>
          <w:szCs w:val="21"/>
          <w:highlight w:val="none"/>
        </w:rPr>
        <w:t>在工程项目竣工前，承包人按专用合同条款第3.7条提供履约担保的，发包人不得同时预留工程质量保证金。</w:t>
      </w:r>
    </w:p>
    <w:p>
      <w:pPr>
        <w:spacing w:line="360" w:lineRule="auto"/>
        <w:ind w:firstLine="420" w:firstLineChars="200"/>
        <w:jc w:val="left"/>
        <w:rPr>
          <w:rFonts w:hint="eastAsia" w:ascii="Times New Roman" w:hAnsi="Times New Roman" w:eastAsia="仿宋_GB2312"/>
          <w:color w:val="auto"/>
          <w:sz w:val="21"/>
          <w:szCs w:val="21"/>
          <w:highlight w:val="none"/>
        </w:rPr>
      </w:pPr>
    </w:p>
    <w:p>
      <w:pPr>
        <w:spacing w:line="360" w:lineRule="auto"/>
        <w:ind w:firstLine="420" w:firstLineChars="200"/>
        <w:jc w:val="left"/>
        <w:outlineLvl w:val="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 xml:space="preserve">15.3.1 </w:t>
      </w:r>
      <w:r>
        <w:rPr>
          <w:rFonts w:hint="eastAsia" w:ascii="Times New Roman" w:hAnsi="Times New Roman" w:eastAsia="仿宋_GB2312"/>
          <w:color w:val="auto"/>
          <w:sz w:val="21"/>
          <w:szCs w:val="21"/>
          <w:highlight w:val="none"/>
        </w:rPr>
        <w:t>承包人提供</w:t>
      </w:r>
      <w:r>
        <w:rPr>
          <w:rFonts w:ascii="Times New Roman" w:hAnsi="Times New Roman" w:eastAsia="仿宋_GB2312"/>
          <w:color w:val="auto"/>
          <w:sz w:val="21"/>
          <w:szCs w:val="21"/>
          <w:highlight w:val="none"/>
        </w:rPr>
        <w:t>质量保证金的</w:t>
      </w:r>
      <w:r>
        <w:rPr>
          <w:rFonts w:hint="eastAsia" w:ascii="Times New Roman" w:hAnsi="Times New Roman" w:eastAsia="仿宋_GB2312"/>
          <w:color w:val="auto"/>
          <w:sz w:val="21"/>
          <w:szCs w:val="21"/>
          <w:highlight w:val="none"/>
        </w:rPr>
        <w:t>方</w:t>
      </w:r>
      <w:r>
        <w:rPr>
          <w:rFonts w:ascii="Times New Roman" w:hAnsi="Times New Roman" w:eastAsia="仿宋_GB2312"/>
          <w:color w:val="auto"/>
          <w:sz w:val="21"/>
          <w:szCs w:val="21"/>
          <w:highlight w:val="none"/>
        </w:rPr>
        <w:t>式</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质量保证金采用以下第</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种方式：</w:t>
      </w:r>
    </w:p>
    <w:p>
      <w:pPr>
        <w:autoSpaceDE w:val="0"/>
        <w:autoSpaceDN w:val="0"/>
        <w:adjustRightInd w:val="0"/>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（1）质量保证金保函，保证金额为：</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 xml:space="preserve">； </w:t>
      </w:r>
    </w:p>
    <w:p>
      <w:pPr>
        <w:autoSpaceDE w:val="0"/>
        <w:autoSpaceDN w:val="0"/>
        <w:adjustRightInd w:val="0"/>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（2）</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%的工程款；</w:t>
      </w:r>
    </w:p>
    <w:p>
      <w:pPr>
        <w:autoSpaceDE w:val="0"/>
        <w:autoSpaceDN w:val="0"/>
        <w:adjustRightInd w:val="0"/>
        <w:spacing w:line="360" w:lineRule="auto"/>
        <w:ind w:firstLine="420" w:firstLineChars="200"/>
        <w:jc w:val="left"/>
        <w:rPr>
          <w:rFonts w:hint="eastAsia"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（3）其他</w:t>
      </w:r>
      <w:r>
        <w:rPr>
          <w:rFonts w:hint="eastAsia" w:ascii="Times New Roman" w:hAnsi="Times New Roman" w:eastAsia="仿宋_GB2312"/>
          <w:color w:val="auto"/>
          <w:kern w:val="0"/>
          <w:sz w:val="21"/>
          <w:szCs w:val="21"/>
          <w:highlight w:val="none"/>
        </w:rPr>
        <w:t>方</w:t>
      </w:r>
      <w:r>
        <w:rPr>
          <w:rFonts w:ascii="Times New Roman" w:hAnsi="Times New Roman" w:eastAsia="仿宋_GB2312"/>
          <w:color w:val="auto"/>
          <w:kern w:val="0"/>
          <w:sz w:val="21"/>
          <w:szCs w:val="21"/>
          <w:highlight w:val="none"/>
        </w:rPr>
        <w:t>式:</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line="360" w:lineRule="auto"/>
        <w:ind w:firstLine="420" w:firstLineChars="200"/>
        <w:jc w:val="left"/>
        <w:outlineLvl w:val="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 xml:space="preserve">15.3.2 质量保证金的扣留 </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质量保证金的扣留采取以下第</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种方式：</w:t>
      </w:r>
    </w:p>
    <w:p>
      <w:pPr>
        <w:autoSpaceDE w:val="0"/>
        <w:autoSpaceDN w:val="0"/>
        <w:adjustRightInd w:val="0"/>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（1）在支付工程进度款时逐次扣留，在此情形下，质量保证金的计算基数不包括预付款的支付、扣回以及价格调整的金额；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outlineLvl w:val="0"/>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（2）工程竣工结算时一次性扣留质量保证金；</w:t>
      </w:r>
    </w:p>
    <w:p>
      <w:pPr>
        <w:autoSpaceDE w:val="0"/>
        <w:autoSpaceDN w:val="0"/>
        <w:adjustRightInd w:val="0"/>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（3）其他扣留方式:</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line="360" w:lineRule="auto"/>
        <w:ind w:firstLine="420" w:firstLineChars="200"/>
        <w:jc w:val="left"/>
        <w:rPr>
          <w:rFonts w:hint="eastAsia" w:ascii="Times New Roman" w:hAnsi="Times New Roman" w:eastAsia="仿宋_GB2312"/>
          <w:color w:val="auto"/>
          <w:kern w:val="0"/>
          <w:sz w:val="21"/>
          <w:szCs w:val="21"/>
          <w:highlight w:val="none"/>
          <w:u w:val="single"/>
        </w:rPr>
      </w:pPr>
      <w:r>
        <w:rPr>
          <w:rFonts w:ascii="Times New Roman" w:hAnsi="Times New Roman" w:eastAsia="仿宋_GB2312"/>
          <w:color w:val="auto"/>
          <w:sz w:val="21"/>
          <w:szCs w:val="21"/>
          <w:highlight w:val="none"/>
        </w:rPr>
        <w:t>关于质量保证金的补充约定：</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bookmarkEnd w:id="859"/>
    <w:bookmarkEnd w:id="860"/>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15.4保修</w:t>
      </w:r>
    </w:p>
    <w:bookmarkEnd w:id="861"/>
    <w:p>
      <w:pPr>
        <w:spacing w:line="360" w:lineRule="auto"/>
        <w:ind w:firstLine="409" w:firstLineChars="195"/>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15.4.1 保修责任</w:t>
      </w:r>
    </w:p>
    <w:p>
      <w:pPr>
        <w:spacing w:line="360" w:lineRule="auto"/>
        <w:ind w:firstLine="409" w:firstLineChars="195"/>
        <w:jc w:val="left"/>
        <w:rPr>
          <w:rFonts w:ascii="Times New Roman" w:hAnsi="Times New Roman" w:eastAsia="仿宋_GB2312"/>
          <w:color w:val="auto"/>
          <w:kern w:val="0"/>
          <w:sz w:val="21"/>
          <w:szCs w:val="21"/>
          <w:highlight w:val="none"/>
          <w:u w:val="single"/>
        </w:rPr>
      </w:pPr>
      <w:r>
        <w:rPr>
          <w:rFonts w:ascii="Times New Roman" w:hAnsi="Times New Roman" w:eastAsia="仿宋_GB2312"/>
          <w:color w:val="auto"/>
          <w:sz w:val="21"/>
          <w:szCs w:val="21"/>
          <w:highlight w:val="none"/>
        </w:rPr>
        <w:t>工程保修期为：</w:t>
      </w:r>
      <w:r>
        <w:rPr>
          <w:rFonts w:ascii="Times New Roman" w:hAnsi="Times New Roman" w:eastAsia="仿宋_GB2312"/>
          <w:color w:val="auto"/>
          <w:kern w:val="0"/>
          <w:sz w:val="21"/>
          <w:szCs w:val="21"/>
          <w:highlight w:val="none"/>
          <w:u w:val="single"/>
        </w:rPr>
        <w:t xml:space="preserve">                                        </w:t>
      </w:r>
    </w:p>
    <w:p>
      <w:pPr>
        <w:spacing w:line="360" w:lineRule="auto"/>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line="360" w:lineRule="auto"/>
        <w:ind w:firstLine="409" w:firstLineChars="195"/>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15.4.3 修复通知</w:t>
      </w:r>
    </w:p>
    <w:p>
      <w:pPr>
        <w:spacing w:line="360" w:lineRule="auto"/>
        <w:ind w:firstLine="409" w:firstLineChars="195"/>
        <w:jc w:val="left"/>
        <w:rPr>
          <w:rFonts w:ascii="Times New Roman" w:hAnsi="Times New Roman" w:eastAsia="仿宋_GB2312"/>
          <w:color w:val="auto"/>
          <w:kern w:val="0"/>
          <w:sz w:val="21"/>
          <w:szCs w:val="21"/>
          <w:highlight w:val="none"/>
          <w:u w:val="single"/>
        </w:rPr>
      </w:pPr>
      <w:r>
        <w:rPr>
          <w:rFonts w:ascii="Times New Roman" w:hAnsi="Times New Roman" w:eastAsia="仿宋_GB2312"/>
          <w:color w:val="auto"/>
          <w:kern w:val="0"/>
          <w:sz w:val="21"/>
          <w:szCs w:val="21"/>
          <w:highlight w:val="none"/>
        </w:rPr>
        <w:t>承包人收到保修通知并到达工程现场的合理时间：</w:t>
      </w:r>
      <w:r>
        <w:rPr>
          <w:rFonts w:ascii="Times New Roman" w:hAnsi="Times New Roman" w:eastAsia="仿宋_GB2312"/>
          <w:color w:val="auto"/>
          <w:kern w:val="0"/>
          <w:sz w:val="21"/>
          <w:szCs w:val="21"/>
          <w:highlight w:val="none"/>
          <w:u w:val="single"/>
        </w:rPr>
        <w:t xml:space="preserve">          </w:t>
      </w:r>
    </w:p>
    <w:p>
      <w:pPr>
        <w:spacing w:line="360" w:lineRule="auto"/>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bookmarkEnd w:id="862"/>
    <w:bookmarkEnd w:id="863"/>
    <w:bookmarkEnd w:id="864"/>
    <w:bookmarkEnd w:id="865"/>
    <w:p>
      <w:pPr>
        <w:pStyle w:val="11"/>
        <w:spacing w:before="120" w:after="120" w:line="360" w:lineRule="auto"/>
        <w:rPr>
          <w:rFonts w:ascii="Times New Roman" w:hAnsi="Times New Roman" w:eastAsia="黑体"/>
          <w:b w:val="0"/>
          <w:color w:val="auto"/>
          <w:sz w:val="21"/>
          <w:szCs w:val="21"/>
          <w:highlight w:val="none"/>
        </w:rPr>
      </w:pPr>
      <w:bookmarkStart w:id="888" w:name="_Toc351203648"/>
      <w:bookmarkStart w:id="889" w:name="_Toc280868717"/>
      <w:bookmarkStart w:id="890" w:name="_Toc280868718"/>
      <w:r>
        <w:rPr>
          <w:rFonts w:ascii="Times New Roman" w:hAnsi="Times New Roman" w:eastAsia="黑体"/>
          <w:b w:val="0"/>
          <w:color w:val="auto"/>
          <w:sz w:val="21"/>
          <w:szCs w:val="21"/>
          <w:highlight w:val="none"/>
        </w:rPr>
        <w:t>16. 违约</w:t>
      </w:r>
      <w:bookmarkEnd w:id="888"/>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16.1 发包人违约</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16.1.1发包人违约的情形</w:t>
      </w:r>
    </w:p>
    <w:p>
      <w:pPr>
        <w:spacing w:line="360" w:lineRule="auto"/>
        <w:ind w:firstLine="420" w:firstLineChars="200"/>
        <w:jc w:val="left"/>
        <w:rPr>
          <w:rFonts w:ascii="Times New Roman" w:hAnsi="Times New Roman" w:eastAsia="仿宋_GB2312"/>
          <w:color w:val="auto"/>
          <w:kern w:val="0"/>
          <w:sz w:val="21"/>
          <w:szCs w:val="21"/>
          <w:highlight w:val="none"/>
          <w:u w:val="single"/>
        </w:rPr>
      </w:pPr>
      <w:r>
        <w:rPr>
          <w:rFonts w:ascii="Times New Roman" w:hAnsi="Times New Roman" w:eastAsia="仿宋_GB2312"/>
          <w:color w:val="auto"/>
          <w:kern w:val="0"/>
          <w:sz w:val="21"/>
          <w:szCs w:val="21"/>
          <w:highlight w:val="none"/>
        </w:rPr>
        <w:t>发包人违约的其他情形：</w:t>
      </w:r>
      <w:r>
        <w:rPr>
          <w:rFonts w:ascii="Times New Roman" w:hAnsi="Times New Roman" w:eastAsia="仿宋_GB2312"/>
          <w:color w:val="auto"/>
          <w:kern w:val="0"/>
          <w:sz w:val="21"/>
          <w:szCs w:val="21"/>
          <w:highlight w:val="none"/>
          <w:u w:val="single"/>
        </w:rPr>
        <w:t xml:space="preserve">                                </w:t>
      </w:r>
    </w:p>
    <w:p>
      <w:pPr>
        <w:spacing w:line="360" w:lineRule="auto"/>
        <w:ind w:left="1500" w:hanging="1050" w:hangingChars="500"/>
        <w:jc w:val="left"/>
        <w:rPr>
          <w:rFonts w:hint="eastAsia"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line="360" w:lineRule="auto"/>
        <w:ind w:left="1500" w:hanging="1050" w:hangingChars="5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 xml:space="preserve">    16.1.2 发包人违约的责任</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发包人违约责任的承担方式和计算方法：</w:t>
      </w:r>
    </w:p>
    <w:p>
      <w:pPr>
        <w:spacing w:line="360" w:lineRule="auto"/>
        <w:ind w:firstLine="420" w:firstLineChars="200"/>
        <w:jc w:val="left"/>
        <w:rPr>
          <w:rFonts w:ascii="Times New Roman" w:hAnsi="Times New Roman" w:eastAsia="仿宋_GB2312"/>
          <w:color w:val="auto"/>
          <w:kern w:val="0"/>
          <w:sz w:val="21"/>
          <w:szCs w:val="21"/>
          <w:highlight w:val="none"/>
          <w:u w:val="single"/>
        </w:rPr>
      </w:pPr>
      <w:r>
        <w:rPr>
          <w:rFonts w:ascii="Times New Roman" w:hAnsi="Times New Roman" w:eastAsia="仿宋_GB2312"/>
          <w:color w:val="auto"/>
          <w:kern w:val="0"/>
          <w:sz w:val="21"/>
          <w:szCs w:val="21"/>
          <w:highlight w:val="none"/>
        </w:rPr>
        <w:t>（1）因发包人原因未能在计划开工日期前7天内下达开工通知的违约责任：</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（2）因发包人原因未能按合同约定支付合同价款的违约责任：</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line="360" w:lineRule="auto"/>
        <w:ind w:firstLine="420" w:firstLineChars="200"/>
        <w:jc w:val="left"/>
        <w:rPr>
          <w:rFonts w:hint="eastAsia" w:ascii="Times New Roman" w:hAnsi="Times New Roman" w:eastAsia="仿宋_GB2312"/>
          <w:color w:val="auto"/>
          <w:kern w:val="0"/>
          <w:sz w:val="21"/>
          <w:szCs w:val="21"/>
          <w:highlight w:val="none"/>
          <w:u w:val="single"/>
        </w:rPr>
      </w:pPr>
      <w:r>
        <w:rPr>
          <w:rFonts w:ascii="Times New Roman" w:hAnsi="Times New Roman" w:eastAsia="仿宋_GB2312"/>
          <w:color w:val="auto"/>
          <w:kern w:val="0"/>
          <w:sz w:val="21"/>
          <w:szCs w:val="21"/>
          <w:highlight w:val="none"/>
        </w:rPr>
        <w:t>（3）发包人违反第10.1款</w:t>
      </w:r>
      <w:r>
        <w:rPr>
          <w:rFonts w:hint="eastAsia" w:ascii="Times New Roman" w:hAnsi="Times New Roman" w:eastAsia="仿宋_GB2312"/>
          <w:color w:val="auto"/>
          <w:kern w:val="0"/>
          <w:sz w:val="21"/>
          <w:szCs w:val="21"/>
          <w:highlight w:val="none"/>
        </w:rPr>
        <w:t>〔</w:t>
      </w:r>
      <w:r>
        <w:rPr>
          <w:rFonts w:ascii="Times New Roman" w:hAnsi="Times New Roman" w:eastAsia="仿宋_GB2312"/>
          <w:color w:val="auto"/>
          <w:kern w:val="0"/>
          <w:sz w:val="21"/>
          <w:szCs w:val="21"/>
          <w:highlight w:val="none"/>
        </w:rPr>
        <w:t>变更的范围</w:t>
      </w:r>
      <w:r>
        <w:rPr>
          <w:rFonts w:hint="eastAsia" w:ascii="Times New Roman" w:hAnsi="Times New Roman" w:eastAsia="仿宋_GB2312"/>
          <w:color w:val="auto"/>
          <w:kern w:val="0"/>
          <w:sz w:val="21"/>
          <w:szCs w:val="21"/>
          <w:highlight w:val="none"/>
        </w:rPr>
        <w:t>〕</w:t>
      </w:r>
      <w:r>
        <w:rPr>
          <w:rFonts w:ascii="Times New Roman" w:hAnsi="Times New Roman" w:eastAsia="仿宋_GB2312"/>
          <w:color w:val="auto"/>
          <w:kern w:val="0"/>
          <w:sz w:val="21"/>
          <w:szCs w:val="21"/>
          <w:highlight w:val="none"/>
        </w:rPr>
        <w:t>第（2）项约定，自行实施被取消的工作或转由他人实施的违约责任：</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p>
    <w:p>
      <w:pPr>
        <w:spacing w:line="360" w:lineRule="auto"/>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（4）发包人提供的材料、工程设备的规格、数量或质量不符合合同约定，或因发包人原因导致交货日期延误或交货地点变更等情况的违约责任：</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line="360" w:lineRule="auto"/>
        <w:ind w:firstLine="420" w:firstLineChars="200"/>
        <w:jc w:val="left"/>
        <w:rPr>
          <w:rFonts w:ascii="Times New Roman" w:hAnsi="Times New Roman" w:eastAsia="仿宋_GB2312"/>
          <w:color w:val="auto"/>
          <w:kern w:val="0"/>
          <w:sz w:val="21"/>
          <w:szCs w:val="21"/>
          <w:highlight w:val="none"/>
          <w:u w:val="single"/>
        </w:rPr>
      </w:pPr>
      <w:r>
        <w:rPr>
          <w:rFonts w:ascii="Times New Roman" w:hAnsi="Times New Roman" w:eastAsia="仿宋_GB2312"/>
          <w:color w:val="auto"/>
          <w:kern w:val="0"/>
          <w:sz w:val="21"/>
          <w:szCs w:val="21"/>
          <w:highlight w:val="none"/>
        </w:rPr>
        <w:t>（5）因发包人违反合同约定造成暂停施工的违约责任：</w:t>
      </w:r>
      <w:r>
        <w:rPr>
          <w:rFonts w:ascii="Times New Roman" w:hAnsi="Times New Roman" w:eastAsia="仿宋_GB2312"/>
          <w:color w:val="auto"/>
          <w:kern w:val="0"/>
          <w:sz w:val="21"/>
          <w:szCs w:val="21"/>
          <w:highlight w:val="none"/>
          <w:u w:val="single"/>
        </w:rPr>
        <w:t xml:space="preserve">     </w:t>
      </w:r>
    </w:p>
    <w:p>
      <w:pPr>
        <w:spacing w:line="360" w:lineRule="auto"/>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（6）发包人无正当理由没有在约定期限内发出复工指示，导致承包人无法复工的违约责任：</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（7）</w:t>
      </w:r>
      <w:r>
        <w:rPr>
          <w:rFonts w:hint="eastAsia" w:ascii="Times New Roman" w:hAnsi="Times New Roman" w:eastAsia="仿宋_GB2312"/>
          <w:color w:val="auto"/>
          <w:kern w:val="0"/>
          <w:sz w:val="21"/>
          <w:szCs w:val="21"/>
          <w:highlight w:val="none"/>
        </w:rPr>
        <w:t>其他：</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16.1.3 因发包人违约解除合同</w:t>
      </w:r>
    </w:p>
    <w:p>
      <w:pPr>
        <w:autoSpaceDE w:val="0"/>
        <w:autoSpaceDN w:val="0"/>
        <w:adjustRightInd w:val="0"/>
        <w:spacing w:line="360" w:lineRule="auto"/>
        <w:ind w:firstLine="420" w:firstLineChars="200"/>
        <w:jc w:val="left"/>
        <w:rPr>
          <w:rFonts w:hint="eastAsia"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承包人按16.1.1项</w:t>
      </w:r>
      <w:r>
        <w:rPr>
          <w:rFonts w:hint="eastAsia" w:ascii="Times New Roman" w:hAnsi="Times New Roman" w:eastAsia="仿宋_GB2312"/>
          <w:color w:val="auto"/>
          <w:kern w:val="0"/>
          <w:sz w:val="21"/>
          <w:szCs w:val="21"/>
          <w:highlight w:val="none"/>
        </w:rPr>
        <w:t>〔</w:t>
      </w:r>
      <w:r>
        <w:rPr>
          <w:rFonts w:ascii="Times New Roman" w:hAnsi="Times New Roman" w:eastAsia="仿宋_GB2312"/>
          <w:color w:val="auto"/>
          <w:kern w:val="0"/>
          <w:sz w:val="21"/>
          <w:szCs w:val="21"/>
          <w:highlight w:val="none"/>
        </w:rPr>
        <w:t>发包人违约的情形</w:t>
      </w:r>
      <w:r>
        <w:rPr>
          <w:rFonts w:hint="eastAsia" w:ascii="Times New Roman" w:hAnsi="Times New Roman" w:eastAsia="仿宋_GB2312"/>
          <w:color w:val="auto"/>
          <w:kern w:val="0"/>
          <w:sz w:val="21"/>
          <w:szCs w:val="21"/>
          <w:highlight w:val="none"/>
        </w:rPr>
        <w:t>〕</w:t>
      </w:r>
      <w:r>
        <w:rPr>
          <w:rFonts w:ascii="Times New Roman" w:hAnsi="Times New Roman" w:eastAsia="仿宋_GB2312"/>
          <w:color w:val="auto"/>
          <w:kern w:val="0"/>
          <w:sz w:val="21"/>
          <w:szCs w:val="21"/>
          <w:highlight w:val="none"/>
        </w:rPr>
        <w:t>约定暂停施工满</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天后发包人仍不纠正其违约行为并致使合同目的不能实现的，承包人有权解除合同。</w:t>
      </w:r>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16.2 承包人违约</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16.2.1 承包人违约的情形</w:t>
      </w:r>
    </w:p>
    <w:p>
      <w:pPr>
        <w:spacing w:line="360" w:lineRule="auto"/>
        <w:ind w:firstLine="420" w:firstLineChars="200"/>
        <w:jc w:val="left"/>
        <w:rPr>
          <w:rFonts w:ascii="Times New Roman" w:hAnsi="Times New Roman" w:eastAsia="仿宋_GB2312"/>
          <w:color w:val="auto"/>
          <w:kern w:val="0"/>
          <w:sz w:val="21"/>
          <w:szCs w:val="21"/>
          <w:highlight w:val="none"/>
          <w:u w:val="single"/>
        </w:rPr>
      </w:pPr>
      <w:r>
        <w:rPr>
          <w:rFonts w:ascii="Times New Roman" w:hAnsi="Times New Roman" w:eastAsia="仿宋_GB2312"/>
          <w:color w:val="auto"/>
          <w:kern w:val="0"/>
          <w:sz w:val="21"/>
          <w:szCs w:val="21"/>
          <w:highlight w:val="none"/>
        </w:rPr>
        <w:t>承包人违约的其他情形：</w:t>
      </w:r>
      <w:r>
        <w:rPr>
          <w:rFonts w:ascii="Times New Roman" w:hAnsi="Times New Roman" w:eastAsia="仿宋_GB2312"/>
          <w:color w:val="auto"/>
          <w:kern w:val="0"/>
          <w:sz w:val="21"/>
          <w:szCs w:val="21"/>
          <w:highlight w:val="none"/>
          <w:u w:val="single"/>
        </w:rPr>
        <w:t xml:space="preserve">                                </w:t>
      </w:r>
    </w:p>
    <w:p>
      <w:pPr>
        <w:spacing w:line="360" w:lineRule="auto"/>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16.2.2承包人违约的责任</w:t>
      </w:r>
    </w:p>
    <w:p>
      <w:pPr>
        <w:spacing w:line="360" w:lineRule="auto"/>
        <w:ind w:firstLine="420" w:firstLineChars="200"/>
        <w:jc w:val="left"/>
        <w:rPr>
          <w:rFonts w:ascii="Times New Roman" w:hAnsi="Times New Roman" w:eastAsia="仿宋_GB2312"/>
          <w:color w:val="auto"/>
          <w:kern w:val="0"/>
          <w:sz w:val="21"/>
          <w:szCs w:val="21"/>
          <w:highlight w:val="none"/>
          <w:u w:val="single"/>
        </w:rPr>
      </w:pPr>
      <w:r>
        <w:rPr>
          <w:rFonts w:ascii="Times New Roman" w:hAnsi="Times New Roman" w:eastAsia="仿宋_GB2312"/>
          <w:color w:val="auto"/>
          <w:kern w:val="0"/>
          <w:sz w:val="21"/>
          <w:szCs w:val="21"/>
          <w:highlight w:val="none"/>
        </w:rPr>
        <w:t>承包人违约责任的承担方式和计算方法：</w:t>
      </w:r>
      <w:r>
        <w:rPr>
          <w:rFonts w:ascii="Times New Roman" w:hAnsi="Times New Roman" w:eastAsia="仿宋_GB2312"/>
          <w:color w:val="auto"/>
          <w:kern w:val="0"/>
          <w:sz w:val="21"/>
          <w:szCs w:val="21"/>
          <w:highlight w:val="none"/>
          <w:u w:val="single"/>
        </w:rPr>
        <w:t xml:space="preserve">                  </w:t>
      </w:r>
    </w:p>
    <w:p>
      <w:pPr>
        <w:spacing w:line="360" w:lineRule="auto"/>
        <w:ind w:left="1500" w:hanging="1050" w:hangingChars="500"/>
        <w:jc w:val="left"/>
        <w:rPr>
          <w:rFonts w:ascii="Times New Roman" w:hAnsi="Times New Roman" w:eastAsia="仿宋_GB2312"/>
          <w:color w:val="auto"/>
          <w:kern w:val="0"/>
          <w:sz w:val="21"/>
          <w:szCs w:val="21"/>
          <w:highlight w:val="none"/>
          <w:u w:val="single"/>
        </w:rPr>
      </w:pP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r>
        <w:rPr>
          <w:rFonts w:ascii="Times New Roman" w:hAnsi="Times New Roman" w:eastAsia="仿宋_GB2312"/>
          <w:color w:val="auto"/>
          <w:sz w:val="21"/>
          <w:szCs w:val="21"/>
          <w:highlight w:val="none"/>
        </w:rPr>
        <w:t xml:space="preserve">    </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16.2.3 因承包人违约解除合同</w:t>
      </w:r>
    </w:p>
    <w:p>
      <w:pPr>
        <w:spacing w:before="120" w:after="120" w:line="360" w:lineRule="auto"/>
        <w:ind w:firstLine="420" w:firstLineChars="200"/>
        <w:rPr>
          <w:rFonts w:hint="eastAsia" w:ascii="Times New Roman" w:hAnsi="Times New Roman" w:eastAsia="仿宋_GB2312"/>
          <w:color w:val="auto"/>
          <w:kern w:val="0"/>
          <w:sz w:val="21"/>
          <w:szCs w:val="21"/>
          <w:highlight w:val="none"/>
          <w:u w:val="single"/>
        </w:rPr>
      </w:pPr>
      <w:r>
        <w:rPr>
          <w:rFonts w:ascii="Times New Roman" w:hAnsi="Times New Roman" w:eastAsia="仿宋_GB2312"/>
          <w:color w:val="auto"/>
          <w:kern w:val="0"/>
          <w:sz w:val="21"/>
          <w:szCs w:val="21"/>
          <w:highlight w:val="none"/>
        </w:rPr>
        <w:t>关于承包人违约解除合同的特别约定：</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p>
    <w:p>
      <w:pPr>
        <w:spacing w:before="120" w:after="120" w:line="360" w:lineRule="auto"/>
        <w:rPr>
          <w:rFonts w:hint="eastAsia"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before="120" w:after="120" w:line="360" w:lineRule="auto"/>
        <w:ind w:firstLine="420" w:firstLineChars="200"/>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发包人</w:t>
      </w:r>
      <w:r>
        <w:rPr>
          <w:rFonts w:hint="eastAsia" w:ascii="Times New Roman" w:hAnsi="Times New Roman" w:eastAsia="仿宋_GB2312"/>
          <w:color w:val="auto"/>
          <w:kern w:val="0"/>
          <w:sz w:val="21"/>
          <w:szCs w:val="21"/>
          <w:highlight w:val="none"/>
        </w:rPr>
        <w:t>继续</w:t>
      </w:r>
      <w:r>
        <w:rPr>
          <w:rFonts w:ascii="Times New Roman" w:hAnsi="Times New Roman" w:eastAsia="仿宋_GB2312"/>
          <w:color w:val="auto"/>
          <w:kern w:val="0"/>
          <w:sz w:val="21"/>
          <w:szCs w:val="21"/>
          <w:highlight w:val="none"/>
        </w:rPr>
        <w:t>使用承包人在施工现场的材料、设备、临时工程、承包人文件和由承包人或以其名义编制的其他文件</w:t>
      </w:r>
      <w:r>
        <w:rPr>
          <w:rFonts w:hint="eastAsia" w:ascii="Times New Roman" w:hAnsi="Times New Roman" w:eastAsia="仿宋_GB2312"/>
          <w:color w:val="auto"/>
          <w:kern w:val="0"/>
          <w:sz w:val="21"/>
          <w:szCs w:val="21"/>
          <w:highlight w:val="none"/>
        </w:rPr>
        <w:t>的费用承担方式</w:t>
      </w:r>
      <w:r>
        <w:rPr>
          <w:rFonts w:ascii="Times New Roman" w:hAnsi="Times New Roman" w:eastAsia="仿宋_GB2312"/>
          <w:color w:val="auto"/>
          <w:kern w:val="0"/>
          <w:sz w:val="21"/>
          <w:szCs w:val="21"/>
          <w:highlight w:val="none"/>
        </w:rPr>
        <w:t>：</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rPr>
        <w:t>。</w:t>
      </w:r>
    </w:p>
    <w:p>
      <w:pPr>
        <w:pStyle w:val="11"/>
        <w:spacing w:before="120" w:after="120" w:line="360" w:lineRule="auto"/>
        <w:rPr>
          <w:rFonts w:ascii="Times New Roman" w:hAnsi="Times New Roman" w:eastAsia="黑体"/>
          <w:b w:val="0"/>
          <w:color w:val="auto"/>
          <w:sz w:val="21"/>
          <w:szCs w:val="21"/>
          <w:highlight w:val="none"/>
        </w:rPr>
      </w:pPr>
      <w:bookmarkStart w:id="891" w:name="_Toc351203649"/>
      <w:r>
        <w:rPr>
          <w:rFonts w:ascii="Times New Roman" w:hAnsi="Times New Roman" w:eastAsia="黑体"/>
          <w:b w:val="0"/>
          <w:color w:val="auto"/>
          <w:sz w:val="21"/>
          <w:szCs w:val="21"/>
          <w:highlight w:val="none"/>
        </w:rPr>
        <w:t>17. 不可抗力</w:t>
      </w:r>
      <w:bookmarkEnd w:id="891"/>
      <w:r>
        <w:rPr>
          <w:rFonts w:ascii="Times New Roman" w:hAnsi="Times New Roman" w:eastAsia="黑体"/>
          <w:b w:val="0"/>
          <w:color w:val="auto"/>
          <w:sz w:val="21"/>
          <w:szCs w:val="21"/>
          <w:highlight w:val="none"/>
        </w:rPr>
        <w:t xml:space="preserve"> </w:t>
      </w:r>
      <w:bookmarkEnd w:id="889"/>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17.1 不可抗力的确认</w:t>
      </w:r>
    </w:p>
    <w:p>
      <w:pPr>
        <w:spacing w:line="360" w:lineRule="auto"/>
        <w:ind w:firstLine="420" w:firstLineChars="200"/>
        <w:jc w:val="left"/>
        <w:rPr>
          <w:rFonts w:ascii="Times New Roman" w:hAnsi="Times New Roman" w:eastAsia="仿宋_GB2312"/>
          <w:color w:val="auto"/>
          <w:kern w:val="0"/>
          <w:sz w:val="21"/>
          <w:szCs w:val="21"/>
          <w:highlight w:val="none"/>
          <w:u w:val="single"/>
        </w:rPr>
      </w:pPr>
      <w:r>
        <w:rPr>
          <w:rFonts w:ascii="Times New Roman" w:hAnsi="Times New Roman" w:eastAsia="仿宋_GB2312"/>
          <w:color w:val="auto"/>
          <w:sz w:val="21"/>
          <w:szCs w:val="21"/>
          <w:highlight w:val="none"/>
        </w:rPr>
        <w:t xml:space="preserve">除通用合同条款约定的不可抗力事件之外，视为不可抗力的其他情形：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17.4 因不可抗力解除合同</w:t>
      </w:r>
    </w:p>
    <w:p>
      <w:pPr>
        <w:spacing w:line="360" w:lineRule="auto"/>
        <w:ind w:firstLine="420" w:firstLineChars="200"/>
        <w:jc w:val="left"/>
        <w:rPr>
          <w:rFonts w:hint="eastAsia"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合同解除后，发包人应在商定或确定发包人应支付款项后</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天内完成款项的支付。</w:t>
      </w:r>
    </w:p>
    <w:p>
      <w:pPr>
        <w:pStyle w:val="11"/>
        <w:spacing w:before="120" w:after="120" w:line="360" w:lineRule="auto"/>
        <w:rPr>
          <w:rFonts w:ascii="Times New Roman" w:hAnsi="Times New Roman" w:eastAsia="黑体"/>
          <w:b w:val="0"/>
          <w:color w:val="auto"/>
          <w:sz w:val="21"/>
          <w:szCs w:val="21"/>
          <w:highlight w:val="none"/>
        </w:rPr>
      </w:pPr>
      <w:bookmarkStart w:id="892" w:name="_Toc351203650"/>
      <w:r>
        <w:rPr>
          <w:rFonts w:ascii="Times New Roman" w:hAnsi="Times New Roman" w:eastAsia="黑体"/>
          <w:b w:val="0"/>
          <w:color w:val="auto"/>
          <w:sz w:val="21"/>
          <w:szCs w:val="21"/>
          <w:highlight w:val="none"/>
        </w:rPr>
        <w:t>18. 保险</w:t>
      </w:r>
      <w:bookmarkEnd w:id="892"/>
    </w:p>
    <w:bookmarkEnd w:id="890"/>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18.1 工程保险</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关于工程保险的特别约定：</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18.3 其他保险</w:t>
      </w:r>
    </w:p>
    <w:p>
      <w:pPr>
        <w:spacing w:line="360" w:lineRule="auto"/>
        <w:ind w:firstLine="420" w:firstLineChars="200"/>
        <w:jc w:val="left"/>
        <w:rPr>
          <w:rFonts w:ascii="Times New Roman" w:hAnsi="Times New Roman" w:eastAsia="仿宋_GB2312"/>
          <w:color w:val="auto"/>
          <w:kern w:val="0"/>
          <w:sz w:val="21"/>
          <w:szCs w:val="21"/>
          <w:highlight w:val="none"/>
        </w:rPr>
      </w:pPr>
      <w:r>
        <w:rPr>
          <w:rFonts w:ascii="Times New Roman" w:hAnsi="Times New Roman" w:eastAsia="仿宋_GB2312"/>
          <w:color w:val="auto"/>
          <w:sz w:val="21"/>
          <w:szCs w:val="21"/>
          <w:highlight w:val="none"/>
        </w:rPr>
        <w:t>关于其他保险的约定：</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hint="eastAsia"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u w:val="single"/>
        </w:rPr>
        <w:t xml:space="preserve">     </w:t>
      </w:r>
      <w:r>
        <w:rPr>
          <w:rFonts w:ascii="Times New Roman" w:hAnsi="Times New Roman" w:eastAsia="仿宋_GB2312"/>
          <w:color w:val="auto"/>
          <w:kern w:val="0"/>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承包人是否应为其施工设备等办理财产保险：</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kern w:val="0"/>
          <w:sz w:val="21"/>
          <w:szCs w:val="21"/>
          <w:highlight w:val="none"/>
        </w:rPr>
      </w:pP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18.7 通知义务</w:t>
      </w:r>
    </w:p>
    <w:p>
      <w:pPr>
        <w:spacing w:line="360" w:lineRule="auto"/>
        <w:ind w:firstLine="420" w:firstLineChars="20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kern w:val="0"/>
          <w:sz w:val="21"/>
          <w:szCs w:val="21"/>
          <w:highlight w:val="none"/>
        </w:rPr>
        <w:t>关于变更保险合同时的通知义务的约定：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bookmarkEnd w:id="866"/>
    <w:bookmarkEnd w:id="867"/>
    <w:bookmarkEnd w:id="868"/>
    <w:bookmarkEnd w:id="869"/>
    <w:bookmarkEnd w:id="870"/>
    <w:bookmarkEnd w:id="871"/>
    <w:bookmarkEnd w:id="872"/>
    <w:bookmarkEnd w:id="873"/>
    <w:bookmarkEnd w:id="874"/>
    <w:bookmarkEnd w:id="875"/>
    <w:bookmarkEnd w:id="876"/>
    <w:bookmarkEnd w:id="877"/>
    <w:p>
      <w:pPr>
        <w:pStyle w:val="11"/>
        <w:spacing w:before="120" w:after="120" w:line="360" w:lineRule="auto"/>
        <w:rPr>
          <w:rFonts w:ascii="Times New Roman" w:hAnsi="Times New Roman" w:eastAsia="黑体"/>
          <w:b w:val="0"/>
          <w:color w:val="auto"/>
          <w:sz w:val="21"/>
          <w:szCs w:val="21"/>
          <w:highlight w:val="none"/>
        </w:rPr>
      </w:pPr>
      <w:bookmarkStart w:id="893" w:name="_Toc351203651"/>
      <w:r>
        <w:rPr>
          <w:rFonts w:ascii="Times New Roman" w:hAnsi="Times New Roman" w:eastAsia="黑体"/>
          <w:b w:val="0"/>
          <w:color w:val="auto"/>
          <w:sz w:val="21"/>
          <w:szCs w:val="21"/>
          <w:highlight w:val="none"/>
        </w:rPr>
        <w:t>20. 争议解决</w:t>
      </w:r>
      <w:bookmarkEnd w:id="893"/>
    </w:p>
    <w:bookmarkEnd w:id="878"/>
    <w:bookmarkEnd w:id="879"/>
    <w:p>
      <w:pPr>
        <w:spacing w:after="120" w:line="360" w:lineRule="auto"/>
        <w:ind w:firstLine="420" w:firstLineChars="200"/>
        <w:outlineLvl w:val="0"/>
        <w:rPr>
          <w:rFonts w:ascii="Times New Roman" w:hAnsi="Times New Roman" w:eastAsia="黑体"/>
          <w:color w:val="auto"/>
          <w:sz w:val="21"/>
          <w:szCs w:val="21"/>
          <w:highlight w:val="none"/>
        </w:rPr>
      </w:pPr>
      <w:r>
        <w:rPr>
          <w:rFonts w:ascii="Times New Roman" w:hAnsi="Times New Roman" w:eastAsia="黑体"/>
          <w:color w:val="auto"/>
          <w:sz w:val="21"/>
          <w:szCs w:val="21"/>
          <w:highlight w:val="none"/>
        </w:rPr>
        <w:t>20.3 争</w:t>
      </w:r>
      <w:bookmarkEnd w:id="880"/>
      <w:r>
        <w:rPr>
          <w:rFonts w:ascii="Times New Roman" w:hAnsi="Times New Roman" w:eastAsia="黑体"/>
          <w:color w:val="auto"/>
          <w:sz w:val="21"/>
          <w:szCs w:val="21"/>
          <w:highlight w:val="none"/>
        </w:rPr>
        <w:t>议评审</w:t>
      </w:r>
    </w:p>
    <w:p>
      <w:pPr>
        <w:spacing w:line="360" w:lineRule="auto"/>
        <w:ind w:left="149" w:leftChars="71" w:firstLine="315" w:firstLineChars="150"/>
        <w:jc w:val="left"/>
        <w:rPr>
          <w:rFonts w:hint="eastAsia"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合同当事人是否同意将工程争议提交争议评审小组决</w:t>
      </w:r>
      <w:r>
        <w:rPr>
          <w:rFonts w:hint="eastAsia" w:ascii="Times New Roman" w:hAnsi="Times New Roman" w:eastAsia="仿宋_GB2312"/>
          <w:color w:val="auto"/>
          <w:sz w:val="21"/>
          <w:szCs w:val="21"/>
          <w:highlight w:val="none"/>
        </w:rPr>
        <w:t>定：</w:t>
      </w:r>
      <w:r>
        <w:rPr>
          <w:rFonts w:hint="eastAsia" w:ascii="Times New Roman" w:hAnsi="Times New Roman" w:eastAsia="仿宋_GB2312"/>
          <w:color w:val="auto"/>
          <w:sz w:val="21"/>
          <w:szCs w:val="21"/>
          <w:highlight w:val="none"/>
          <w:u w:val="single"/>
        </w:rPr>
        <w:t xml:space="preserve">    </w:t>
      </w:r>
    </w:p>
    <w:p>
      <w:pPr>
        <w:spacing w:line="360" w:lineRule="auto"/>
        <w:jc w:val="left"/>
        <w:rPr>
          <w:rFonts w:ascii="Times New Roman" w:hAnsi="Times New Roman" w:eastAsia="仿宋_GB2312"/>
          <w:color w:val="auto"/>
          <w:sz w:val="21"/>
          <w:szCs w:val="21"/>
          <w:highlight w:val="none"/>
        </w:rPr>
      </w:pPr>
      <w:r>
        <w:rPr>
          <w:rFonts w:hint="eastAsia"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rPr>
        <w:t xml:space="preserve">。  </w:t>
      </w:r>
    </w:p>
    <w:p>
      <w:pPr>
        <w:spacing w:line="360" w:lineRule="auto"/>
        <w:ind w:firstLine="420" w:firstLineChars="200"/>
        <w:jc w:val="left"/>
        <w:outlineLvl w:val="0"/>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20.3.1 争议评审小组的确定</w:t>
      </w:r>
    </w:p>
    <w:p>
      <w:pPr>
        <w:spacing w:line="360" w:lineRule="auto"/>
        <w:ind w:firstLine="420" w:firstLineChars="200"/>
        <w:jc w:val="left"/>
        <w:rPr>
          <w:rFonts w:ascii="Times New Roman" w:hAnsi="Times New Roman" w:eastAsia="仿宋_GB2312"/>
          <w:color w:val="auto"/>
          <w:sz w:val="21"/>
          <w:szCs w:val="21"/>
          <w:highlight w:val="none"/>
          <w:u w:val="single"/>
        </w:rPr>
      </w:pPr>
      <w:r>
        <w:rPr>
          <w:rFonts w:ascii="Times New Roman" w:hAnsi="Times New Roman" w:eastAsia="仿宋_GB2312"/>
          <w:color w:val="auto"/>
          <w:sz w:val="21"/>
          <w:szCs w:val="21"/>
          <w:highlight w:val="none"/>
        </w:rPr>
        <w:t>争议评审小组成员的确定：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选定争议评审员的期限：</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争议评审小组成员的报酬承担方式：</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其他事项的约定：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autoSpaceDE w:val="0"/>
        <w:autoSpaceDN w:val="0"/>
        <w:adjustRightInd w:val="0"/>
        <w:spacing w:line="360" w:lineRule="auto"/>
        <w:ind w:firstLine="420" w:firstLineChars="200"/>
        <w:jc w:val="left"/>
        <w:outlineLvl w:val="0"/>
        <w:rPr>
          <w:rFonts w:ascii="Times New Roman" w:hAnsi="Times New Roman" w:eastAsia="仿宋_GB2312"/>
          <w:color w:val="auto"/>
          <w:kern w:val="0"/>
          <w:sz w:val="21"/>
          <w:szCs w:val="21"/>
          <w:highlight w:val="none"/>
        </w:rPr>
      </w:pPr>
      <w:r>
        <w:rPr>
          <w:rFonts w:ascii="Times New Roman" w:hAnsi="Times New Roman" w:eastAsia="仿宋_GB2312"/>
          <w:color w:val="auto"/>
          <w:kern w:val="0"/>
          <w:sz w:val="21"/>
          <w:szCs w:val="21"/>
          <w:highlight w:val="none"/>
        </w:rPr>
        <w:t>20.3.2 争议评审小组的决定</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合同当事人关于本项的约定：</w:t>
      </w:r>
      <w:r>
        <w:rPr>
          <w:rFonts w:ascii="Times New Roman" w:hAnsi="Times New Roman" w:eastAsia="仿宋_GB2312"/>
          <w:color w:val="auto"/>
          <w:sz w:val="21"/>
          <w:szCs w:val="21"/>
          <w:highlight w:val="none"/>
          <w:u w:val="single"/>
        </w:rPr>
        <w:t xml:space="preserve">                      </w:t>
      </w:r>
      <w:r>
        <w:rPr>
          <w:rFonts w:hint="eastAsia"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w:t>
      </w:r>
    </w:p>
    <w:p>
      <w:pPr>
        <w:spacing w:after="120" w:line="360" w:lineRule="auto"/>
        <w:ind w:firstLine="420" w:firstLineChars="200"/>
        <w:outlineLvl w:val="0"/>
        <w:rPr>
          <w:rFonts w:hint="eastAsia" w:ascii="Times New Roman" w:hAnsi="Times New Roman" w:eastAsia="黑体"/>
          <w:color w:val="auto"/>
          <w:sz w:val="21"/>
          <w:szCs w:val="21"/>
          <w:highlight w:val="none"/>
        </w:rPr>
      </w:pPr>
      <w:r>
        <w:rPr>
          <w:rFonts w:ascii="Times New Roman" w:hAnsi="Times New Roman" w:eastAsia="黑体"/>
          <w:color w:val="auto"/>
          <w:sz w:val="21"/>
          <w:szCs w:val="21"/>
          <w:highlight w:val="none"/>
        </w:rPr>
        <w:t>20.4仲裁或诉讼</w:t>
      </w:r>
      <w:bookmarkEnd w:id="881"/>
    </w:p>
    <w:p>
      <w:pPr>
        <w:spacing w:after="120" w:line="360" w:lineRule="auto"/>
        <w:ind w:firstLine="420" w:firstLineChars="200"/>
        <w:rPr>
          <w:rFonts w:ascii="Times New Roman" w:hAnsi="Times New Roman" w:eastAsia="黑体"/>
          <w:color w:val="auto"/>
          <w:sz w:val="21"/>
          <w:szCs w:val="21"/>
          <w:highlight w:val="none"/>
        </w:rPr>
      </w:pPr>
      <w:r>
        <w:rPr>
          <w:rFonts w:ascii="Times New Roman" w:hAnsi="Times New Roman" w:eastAsia="仿宋_GB2312"/>
          <w:color w:val="auto"/>
          <w:sz w:val="21"/>
          <w:szCs w:val="21"/>
          <w:highlight w:val="none"/>
        </w:rPr>
        <w:t>因合同及合同有关事项发生的争议，按下列第</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种方式</w:t>
      </w:r>
      <w:r>
        <w:rPr>
          <w:rFonts w:hint="eastAsia" w:ascii="Times New Roman" w:hAnsi="Times New Roman" w:eastAsia="仿宋_GB2312"/>
          <w:color w:val="auto"/>
          <w:sz w:val="21"/>
          <w:szCs w:val="21"/>
          <w:highlight w:val="none"/>
        </w:rPr>
        <w:t>解</w:t>
      </w:r>
      <w:r>
        <w:rPr>
          <w:rFonts w:ascii="Times New Roman" w:hAnsi="Times New Roman" w:eastAsia="仿宋_GB2312"/>
          <w:color w:val="auto"/>
          <w:sz w:val="21"/>
          <w:szCs w:val="21"/>
          <w:highlight w:val="none"/>
        </w:rPr>
        <w:t>决：</w:t>
      </w:r>
    </w:p>
    <w:p>
      <w:pPr>
        <w:spacing w:line="360" w:lineRule="auto"/>
        <w:ind w:firstLine="420" w:firstLineChars="200"/>
        <w:jc w:val="left"/>
        <w:rPr>
          <w:rFonts w:ascii="Times New Roman" w:hAnsi="Times New Roman" w:eastAsia="仿宋_GB2312"/>
          <w:color w:val="auto"/>
          <w:sz w:val="21"/>
          <w:szCs w:val="21"/>
          <w:highlight w:val="none"/>
        </w:rPr>
      </w:pPr>
      <w:r>
        <w:rPr>
          <w:rFonts w:ascii="Times New Roman" w:hAnsi="Times New Roman" w:eastAsia="仿宋_GB2312"/>
          <w:color w:val="auto"/>
          <w:sz w:val="21"/>
          <w:szCs w:val="21"/>
          <w:highlight w:val="none"/>
        </w:rPr>
        <w:t>（1）向</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仲裁委员会申请仲裁；</w:t>
      </w:r>
    </w:p>
    <w:p>
      <w:pPr>
        <w:spacing w:line="360" w:lineRule="auto"/>
        <w:ind w:firstLine="420" w:firstLineChars="200"/>
        <w:jc w:val="left"/>
        <w:rPr>
          <w:rFonts w:ascii="Times New Roman" w:hAnsi="Times New Roman" w:eastAsia="仿宋_GB2312"/>
          <w:color w:val="auto"/>
          <w:sz w:val="30"/>
          <w:szCs w:val="32"/>
          <w:highlight w:val="none"/>
        </w:rPr>
      </w:pPr>
      <w:r>
        <w:rPr>
          <w:rFonts w:ascii="Times New Roman" w:hAnsi="Times New Roman" w:eastAsia="仿宋_GB2312"/>
          <w:color w:val="auto"/>
          <w:sz w:val="21"/>
          <w:szCs w:val="21"/>
          <w:highlight w:val="none"/>
        </w:rPr>
        <w:t>（2）向</w:t>
      </w:r>
      <w:r>
        <w:rPr>
          <w:rFonts w:ascii="Times New Roman" w:hAnsi="Times New Roman" w:eastAsia="仿宋_GB2312"/>
          <w:color w:val="auto"/>
          <w:sz w:val="21"/>
          <w:szCs w:val="21"/>
          <w:highlight w:val="none"/>
          <w:u w:val="single"/>
        </w:rPr>
        <w:t xml:space="preserve">                     </w:t>
      </w:r>
      <w:r>
        <w:rPr>
          <w:rFonts w:ascii="Times New Roman" w:hAnsi="Times New Roman" w:eastAsia="仿宋_GB2312"/>
          <w:color w:val="auto"/>
          <w:sz w:val="21"/>
          <w:szCs w:val="21"/>
          <w:highlight w:val="none"/>
        </w:rPr>
        <w:t>人民法院起诉。</w:t>
      </w:r>
      <w:bookmarkEnd w:id="882"/>
      <w:bookmarkEnd w:id="883"/>
      <w:bookmarkEnd w:id="884"/>
      <w:bookmarkEnd w:id="885"/>
      <w:bookmarkEnd w:id="886"/>
      <w:bookmarkEnd w:id="887"/>
    </w:p>
    <w:p>
      <w:pPr>
        <w:jc w:val="center"/>
        <w:rPr>
          <w:rFonts w:hint="eastAsia" w:ascii="黑体" w:eastAsia="黑体"/>
          <w:b/>
          <w:color w:val="auto"/>
          <w:sz w:val="44"/>
          <w:szCs w:val="44"/>
          <w:highlight w:val="none"/>
        </w:rPr>
      </w:pPr>
      <w:r>
        <w:rPr>
          <w:rFonts w:hint="eastAsia" w:ascii="黑体" w:eastAsia="黑体"/>
          <w:b/>
          <w:color w:val="auto"/>
          <w:sz w:val="44"/>
          <w:szCs w:val="44"/>
          <w:highlight w:val="none"/>
        </w:rPr>
        <w:br w:type="page"/>
      </w:r>
      <w:r>
        <w:rPr>
          <w:rFonts w:hint="eastAsia" w:ascii="黑体" w:eastAsia="黑体"/>
          <w:b/>
          <w:color w:val="auto"/>
          <w:sz w:val="44"/>
          <w:szCs w:val="44"/>
          <w:highlight w:val="none"/>
        </w:rPr>
        <w:t>第五章</w:t>
      </w:r>
      <w:bookmarkEnd w:id="340"/>
      <w:r>
        <w:rPr>
          <w:rFonts w:hint="eastAsia" w:ascii="黑体" w:eastAsia="黑体"/>
          <w:b/>
          <w:color w:val="auto"/>
          <w:sz w:val="44"/>
          <w:szCs w:val="44"/>
          <w:highlight w:val="none"/>
        </w:rPr>
        <w:t xml:space="preserve">  </w:t>
      </w:r>
      <w:bookmarkEnd w:id="341"/>
      <w:bookmarkStart w:id="894" w:name="_Toc411781890"/>
      <w:bookmarkStart w:id="895" w:name="_Toc202941483"/>
      <w:r>
        <w:rPr>
          <w:rFonts w:hint="eastAsia" w:ascii="黑体" w:eastAsia="黑体"/>
          <w:b/>
          <w:color w:val="auto"/>
          <w:sz w:val="44"/>
          <w:szCs w:val="44"/>
          <w:highlight w:val="none"/>
        </w:rPr>
        <w:t>工程量清单</w:t>
      </w:r>
      <w:bookmarkEnd w:id="342"/>
      <w:bookmarkEnd w:id="894"/>
    </w:p>
    <w:p>
      <w:pPr>
        <w:spacing w:line="360" w:lineRule="auto"/>
        <w:ind w:firstLine="420"/>
        <w:rPr>
          <w:rFonts w:hint="eastAsia" w:ascii="宋体" w:cs="宋体"/>
          <w:b/>
          <w:color w:val="auto"/>
          <w:sz w:val="28"/>
          <w:szCs w:val="28"/>
          <w:highlight w:val="none"/>
          <w:lang w:eastAsia="zh-CN" w:bidi="ar-SA"/>
        </w:rPr>
      </w:pPr>
    </w:p>
    <w:p>
      <w:pPr>
        <w:spacing w:line="360" w:lineRule="auto"/>
        <w:ind w:firstLine="420"/>
        <w:rPr>
          <w:rFonts w:hint="eastAsia" w:ascii="宋体" w:cs="宋体"/>
          <w:b/>
          <w:color w:val="auto"/>
          <w:sz w:val="28"/>
          <w:szCs w:val="28"/>
          <w:highlight w:val="none"/>
          <w:lang w:eastAsia="zh-CN" w:bidi="ar-SA"/>
        </w:rPr>
      </w:pPr>
    </w:p>
    <w:p>
      <w:pPr>
        <w:spacing w:line="360" w:lineRule="auto"/>
        <w:ind w:firstLine="3935" w:firstLineChars="1400"/>
        <w:rPr>
          <w:rFonts w:hint="eastAsia" w:ascii="宋体" w:eastAsia="宋体" w:cs="宋体"/>
          <w:b/>
          <w:color w:val="auto"/>
          <w:sz w:val="28"/>
          <w:szCs w:val="28"/>
          <w:highlight w:val="none"/>
          <w:lang w:eastAsia="zh-CN" w:bidi="ar-SA"/>
        </w:rPr>
      </w:pPr>
      <w:r>
        <w:rPr>
          <w:rFonts w:hint="eastAsia" w:ascii="宋体" w:cs="宋体"/>
          <w:b/>
          <w:color w:val="auto"/>
          <w:sz w:val="28"/>
          <w:szCs w:val="28"/>
          <w:highlight w:val="none"/>
          <w:lang w:eastAsia="zh-CN" w:bidi="ar-SA"/>
        </w:rPr>
        <w:t>（</w:t>
      </w:r>
      <w:r>
        <w:rPr>
          <w:rFonts w:hint="eastAsia" w:ascii="宋体" w:cs="宋体"/>
          <w:b/>
          <w:color w:val="auto"/>
          <w:sz w:val="28"/>
          <w:szCs w:val="28"/>
          <w:highlight w:val="none"/>
          <w:lang w:val="en-US" w:eastAsia="zh-CN" w:bidi="ar-SA"/>
        </w:rPr>
        <w:t>另册提供</w:t>
      </w:r>
      <w:r>
        <w:rPr>
          <w:rFonts w:hint="eastAsia" w:ascii="宋体" w:cs="宋体"/>
          <w:b/>
          <w:color w:val="auto"/>
          <w:sz w:val="28"/>
          <w:szCs w:val="28"/>
          <w:highlight w:val="none"/>
          <w:lang w:eastAsia="zh-CN" w:bidi="ar-SA"/>
        </w:rPr>
        <w:t>）</w:t>
      </w:r>
    </w:p>
    <w:p>
      <w:pPr>
        <w:pStyle w:val="2"/>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13"/>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黑体" w:eastAsia="黑体" w:cs="黑体"/>
          <w:color w:val="auto"/>
          <w:sz w:val="21"/>
          <w:szCs w:val="21"/>
          <w:highlight w:val="none"/>
          <w:lang w:bidi="ar-SA"/>
        </w:rPr>
      </w:pPr>
      <w:bookmarkStart w:id="896" w:name="_Toc26587"/>
    </w:p>
    <w:p>
      <w:pPr>
        <w:pStyle w:val="8"/>
        <w:spacing w:before="240" w:beforeLines="100" w:after="0" w:line="240" w:lineRule="auto"/>
        <w:jc w:val="center"/>
        <w:rPr>
          <w:rFonts w:hint="eastAsia" w:ascii="黑体" w:eastAsia="黑体" w:cs="黑体"/>
          <w:color w:val="auto"/>
          <w:szCs w:val="32"/>
          <w:highlight w:val="none"/>
          <w:lang w:bidi="ar-SA"/>
        </w:rPr>
      </w:pPr>
      <w:bookmarkStart w:id="897" w:name="_Toc24042_WPSOffice_Level1"/>
    </w:p>
    <w:p>
      <w:pPr>
        <w:pStyle w:val="8"/>
        <w:spacing w:before="240" w:beforeLines="100" w:after="0" w:line="240" w:lineRule="auto"/>
        <w:jc w:val="center"/>
        <w:rPr>
          <w:rFonts w:hint="eastAsia" w:ascii="黑体" w:eastAsia="黑体" w:cs="黑体"/>
          <w:color w:val="auto"/>
          <w:szCs w:val="32"/>
          <w:highlight w:val="none"/>
          <w:lang w:bidi="ar-SA"/>
        </w:rPr>
      </w:pPr>
      <w:r>
        <w:rPr>
          <w:rFonts w:hint="eastAsia" w:ascii="黑体" w:eastAsia="黑体" w:cs="黑体"/>
          <w:color w:val="auto"/>
          <w:szCs w:val="32"/>
          <w:highlight w:val="none"/>
          <w:lang w:bidi="ar-SA"/>
        </w:rPr>
        <w:t>第六章  图</w:t>
      </w:r>
      <w:r>
        <w:rPr>
          <w:rFonts w:hint="eastAsia" w:ascii="黑体" w:eastAsia="黑体" w:cs="黑体"/>
          <w:color w:val="auto"/>
          <w:szCs w:val="32"/>
          <w:highlight w:val="none"/>
          <w:lang w:bidi="ar-SA"/>
        </w:rPr>
        <w:tab/>
      </w:r>
      <w:r>
        <w:rPr>
          <w:rFonts w:hint="eastAsia" w:ascii="黑体" w:eastAsia="黑体" w:cs="黑体"/>
          <w:color w:val="auto"/>
          <w:szCs w:val="32"/>
          <w:highlight w:val="none"/>
          <w:lang w:bidi="ar-SA"/>
        </w:rPr>
        <w:t>纸</w:t>
      </w:r>
      <w:bookmarkEnd w:id="896"/>
      <w:bookmarkEnd w:id="897"/>
    </w:p>
    <w:p>
      <w:pPr>
        <w:rPr>
          <w:rFonts w:hint="eastAsia" w:ascii="宋体"/>
          <w:color w:val="auto"/>
          <w:sz w:val="30"/>
          <w:szCs w:val="30"/>
          <w:highlight w:val="none"/>
        </w:rPr>
      </w:pPr>
      <w:r>
        <w:rPr>
          <w:rFonts w:hint="eastAsia" w:ascii="宋体"/>
          <w:color w:val="auto"/>
          <w:sz w:val="30"/>
          <w:szCs w:val="30"/>
          <w:highlight w:val="none"/>
        </w:rPr>
        <w:t xml:space="preserve">                            （另附）</w:t>
      </w: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bookmarkEnd w:id="895"/>
    <w:p>
      <w:pPr>
        <w:jc w:val="center"/>
        <w:rPr>
          <w:rFonts w:hint="eastAsia" w:ascii="黑体" w:eastAsia="黑体"/>
          <w:b/>
          <w:color w:val="auto"/>
          <w:sz w:val="40"/>
          <w:szCs w:val="52"/>
          <w:highlight w:val="none"/>
        </w:rPr>
      </w:pPr>
      <w:bookmarkStart w:id="898" w:name="_Toc448154704"/>
      <w:bookmarkStart w:id="899" w:name="_Toc202941484"/>
    </w:p>
    <w:p>
      <w:pPr>
        <w:pStyle w:val="8"/>
        <w:spacing w:before="240" w:beforeLines="100" w:after="0"/>
        <w:jc w:val="center"/>
        <w:rPr>
          <w:rFonts w:hint="eastAsia" w:ascii="黑体" w:eastAsia="黑体" w:cs="黑体"/>
          <w:color w:val="auto"/>
          <w:szCs w:val="32"/>
          <w:highlight w:val="none"/>
          <w:lang w:bidi="ar-SA"/>
        </w:rPr>
      </w:pPr>
      <w:r>
        <w:rPr>
          <w:rFonts w:hint="eastAsia" w:ascii="黑体" w:eastAsia="黑体"/>
          <w:color w:val="auto"/>
          <w:sz w:val="40"/>
          <w:szCs w:val="52"/>
          <w:highlight w:val="none"/>
        </w:rPr>
        <w:br w:type="page"/>
      </w:r>
      <w:bookmarkStart w:id="900" w:name="_Toc30564_WPSOffice_Level1"/>
      <w:r>
        <w:rPr>
          <w:rFonts w:hint="eastAsia" w:ascii="黑体" w:eastAsia="黑体" w:cs="黑体"/>
          <w:color w:val="auto"/>
          <w:szCs w:val="32"/>
          <w:highlight w:val="none"/>
          <w:lang w:bidi="ar-SA"/>
        </w:rPr>
        <w:t>第七章  技术标准和要求</w:t>
      </w:r>
      <w:bookmarkEnd w:id="900"/>
    </w:p>
    <w:p>
      <w:pPr>
        <w:pStyle w:val="3"/>
        <w:spacing w:line="480" w:lineRule="auto"/>
        <w:rPr>
          <w:rFonts w:hint="eastAsia" w:ascii="宋体"/>
          <w:color w:val="auto"/>
          <w:sz w:val="24"/>
          <w:szCs w:val="24"/>
          <w:highlight w:val="none"/>
        </w:rPr>
      </w:pPr>
      <w:r>
        <w:rPr>
          <w:rFonts w:hint="eastAsia" w:ascii="宋体"/>
          <w:color w:val="auto"/>
          <w:sz w:val="24"/>
          <w:szCs w:val="24"/>
          <w:highlight w:val="none"/>
        </w:rPr>
        <w:t>一、实施的有关标准与法规</w:t>
      </w:r>
      <w:r>
        <w:rPr>
          <w:rFonts w:hint="eastAsia" w:ascii="宋体"/>
          <w:color w:val="auto"/>
          <w:sz w:val="24"/>
          <w:szCs w:val="24"/>
          <w:highlight w:val="none"/>
        </w:rPr>
        <w:tab/>
      </w:r>
    </w:p>
    <w:p>
      <w:pPr>
        <w:pStyle w:val="3"/>
        <w:spacing w:line="480" w:lineRule="auto"/>
        <w:ind w:firstLine="480" w:firstLineChars="200"/>
        <w:rPr>
          <w:rFonts w:hint="eastAsia" w:ascii="宋体"/>
          <w:color w:val="auto"/>
          <w:sz w:val="24"/>
          <w:szCs w:val="24"/>
          <w:highlight w:val="none"/>
        </w:rPr>
      </w:pPr>
      <w:r>
        <w:rPr>
          <w:rFonts w:hint="eastAsia" w:ascii="宋体"/>
          <w:color w:val="auto"/>
          <w:sz w:val="24"/>
          <w:szCs w:val="24"/>
          <w:highlight w:val="none"/>
        </w:rPr>
        <w:t xml:space="preserve">国家、地方现行的工程建设施工及验收规范、施工技术标准、工程建设施工操作规程《建设工程质量管理条例》、《建设工程安全生产管理条例》等；规范中制定的标准或法规为工程实施中实际采用的标准和法规，中标人提出采用的其他标准及规范，如能保证其达到与本规范所规定的标准及规范相同的质量或更高的质量。经项目总监事先审阅和书面批准即可采用。本规范与图纸中明显地未提到的任何细节，或在涉及任何条款的细节说明中有明显的遗漏，都应被认为指的是采用令人满意的建筑建设工程及其他相关工程的习惯作法。 </w:t>
      </w:r>
    </w:p>
    <w:p>
      <w:pPr>
        <w:pStyle w:val="3"/>
        <w:spacing w:line="480" w:lineRule="auto"/>
        <w:ind w:firstLine="480" w:firstLineChars="200"/>
        <w:rPr>
          <w:rFonts w:hint="eastAsia" w:ascii="宋体"/>
          <w:color w:val="auto"/>
          <w:sz w:val="24"/>
          <w:szCs w:val="24"/>
          <w:highlight w:val="none"/>
        </w:rPr>
      </w:pPr>
      <w:r>
        <w:rPr>
          <w:rFonts w:hint="eastAsia" w:ascii="宋体"/>
          <w:color w:val="auto"/>
          <w:sz w:val="24"/>
          <w:szCs w:val="24"/>
          <w:highlight w:val="none"/>
        </w:rPr>
        <w:t>本工程实施中采用的材料、设备和工艺应在各个方面符合引用的标准规范。</w:t>
      </w:r>
    </w:p>
    <w:p>
      <w:pPr>
        <w:pStyle w:val="3"/>
        <w:spacing w:line="480" w:lineRule="auto"/>
        <w:ind w:firstLine="480" w:firstLineChars="200"/>
        <w:rPr>
          <w:rFonts w:hint="eastAsia" w:ascii="宋体"/>
          <w:color w:val="auto"/>
          <w:sz w:val="24"/>
          <w:szCs w:val="24"/>
          <w:highlight w:val="none"/>
        </w:rPr>
      </w:pPr>
      <w:r>
        <w:rPr>
          <w:rFonts w:hint="eastAsia" w:ascii="宋体"/>
          <w:color w:val="auto"/>
          <w:sz w:val="24"/>
          <w:szCs w:val="24"/>
          <w:highlight w:val="none"/>
        </w:rPr>
        <w:t>本工程实施中采用图纸中指定的和现行的有关技术规范和标准。所采用的规范和标准如出现标准不一致的情况，以标准高的为准。</w:t>
      </w:r>
    </w:p>
    <w:p>
      <w:pPr>
        <w:pStyle w:val="3"/>
        <w:spacing w:line="480" w:lineRule="auto"/>
        <w:rPr>
          <w:rFonts w:hint="eastAsia" w:ascii="宋体"/>
          <w:color w:val="auto"/>
          <w:sz w:val="24"/>
          <w:szCs w:val="24"/>
          <w:highlight w:val="none"/>
        </w:rPr>
      </w:pPr>
      <w:r>
        <w:rPr>
          <w:rFonts w:hint="eastAsia" w:ascii="宋体"/>
          <w:color w:val="auto"/>
          <w:sz w:val="24"/>
          <w:szCs w:val="24"/>
          <w:highlight w:val="none"/>
        </w:rPr>
        <w:t>二、工程验收</w:t>
      </w:r>
    </w:p>
    <w:p>
      <w:pPr>
        <w:pStyle w:val="3"/>
        <w:spacing w:line="480" w:lineRule="auto"/>
        <w:ind w:firstLine="480" w:firstLineChars="200"/>
        <w:rPr>
          <w:rFonts w:hint="eastAsia" w:ascii="宋体"/>
          <w:color w:val="auto"/>
          <w:sz w:val="24"/>
          <w:szCs w:val="24"/>
          <w:highlight w:val="none"/>
        </w:rPr>
      </w:pPr>
      <w:r>
        <w:rPr>
          <w:rFonts w:hint="eastAsia" w:ascii="宋体"/>
          <w:color w:val="auto"/>
          <w:sz w:val="24"/>
          <w:szCs w:val="24"/>
          <w:highlight w:val="none"/>
        </w:rPr>
        <w:t>工程验收按照国家目前有关规定执行。</w:t>
      </w:r>
    </w:p>
    <w:p>
      <w:pPr>
        <w:pStyle w:val="3"/>
        <w:spacing w:line="480" w:lineRule="auto"/>
        <w:rPr>
          <w:rFonts w:hint="eastAsia" w:ascii="宋体"/>
          <w:color w:val="auto"/>
          <w:sz w:val="24"/>
          <w:szCs w:val="24"/>
          <w:highlight w:val="none"/>
        </w:rPr>
      </w:pPr>
      <w:r>
        <w:rPr>
          <w:rFonts w:hint="eastAsia" w:ascii="宋体"/>
          <w:color w:val="auto"/>
          <w:sz w:val="24"/>
          <w:szCs w:val="24"/>
          <w:highlight w:val="none"/>
        </w:rPr>
        <w:t>三、设计单位设计的施工图中涉及到的规范、规程和标准集及相关技术要求。</w:t>
      </w:r>
    </w:p>
    <w:p>
      <w:pPr>
        <w:rPr>
          <w:rFonts w:hint="eastAsia" w:ascii="黑体" w:eastAsia="黑体"/>
          <w:b/>
          <w:color w:val="auto"/>
          <w:sz w:val="40"/>
          <w:szCs w:val="52"/>
          <w:highlight w:val="none"/>
        </w:rPr>
      </w:pPr>
    </w:p>
    <w:p>
      <w:pPr>
        <w:jc w:val="center"/>
        <w:rPr>
          <w:rFonts w:hint="eastAsia" w:ascii="黑体" w:eastAsia="黑体"/>
          <w:b/>
          <w:color w:val="auto"/>
          <w:sz w:val="40"/>
          <w:szCs w:val="52"/>
          <w:highlight w:val="none"/>
        </w:rPr>
      </w:pPr>
    </w:p>
    <w:p>
      <w:pPr>
        <w:rPr>
          <w:rFonts w:hint="eastAsia" w:ascii="黑体" w:eastAsia="黑体"/>
          <w:b/>
          <w:color w:val="auto"/>
          <w:sz w:val="40"/>
          <w:szCs w:val="52"/>
          <w:highlight w:val="none"/>
        </w:rPr>
      </w:pPr>
      <w:r>
        <w:rPr>
          <w:rFonts w:hint="eastAsia" w:ascii="黑体" w:eastAsia="黑体"/>
          <w:b/>
          <w:color w:val="auto"/>
          <w:sz w:val="40"/>
          <w:szCs w:val="52"/>
          <w:highlight w:val="none"/>
        </w:rPr>
        <w:br w:type="page"/>
      </w:r>
    </w:p>
    <w:p>
      <w:pPr>
        <w:jc w:val="center"/>
        <w:rPr>
          <w:rFonts w:hint="eastAsia" w:ascii="黑体" w:eastAsia="黑体" w:cs="黑体"/>
          <w:b/>
          <w:bCs/>
          <w:color w:val="auto"/>
          <w:kern w:val="44"/>
          <w:sz w:val="44"/>
          <w:szCs w:val="32"/>
          <w:highlight w:val="none"/>
          <w:lang w:bidi="ar-SA"/>
        </w:rPr>
      </w:pPr>
      <w:bookmarkStart w:id="901" w:name="_Toc17370_WPSOffice_Level1"/>
      <w:r>
        <w:rPr>
          <w:rFonts w:hint="eastAsia" w:ascii="黑体" w:eastAsia="黑体" w:cs="黑体"/>
          <w:b/>
          <w:bCs/>
          <w:color w:val="auto"/>
          <w:kern w:val="44"/>
          <w:sz w:val="44"/>
          <w:szCs w:val="32"/>
          <w:highlight w:val="none"/>
          <w:lang w:bidi="ar-SA"/>
        </w:rPr>
        <w:t>第八章   投标文件格式</w:t>
      </w:r>
      <w:bookmarkEnd w:id="898"/>
      <w:bookmarkEnd w:id="899"/>
      <w:bookmarkEnd w:id="901"/>
    </w:p>
    <w:p>
      <w:pPr>
        <w:widowControl/>
        <w:spacing w:line="360" w:lineRule="auto"/>
        <w:ind w:firstLine="480"/>
        <w:jc w:val="center"/>
        <w:rPr>
          <w:rFonts w:ascii="黑体" w:hAnsi="黑体"/>
          <w:b/>
          <w:color w:val="auto"/>
          <w:sz w:val="32"/>
          <w:szCs w:val="32"/>
          <w:highlight w:val="none"/>
        </w:rPr>
      </w:pPr>
      <w:r>
        <w:rPr>
          <w:rFonts w:hint="eastAsia" w:ascii="宋体"/>
          <w:color w:val="auto"/>
          <w:sz w:val="28"/>
          <w:highlight w:val="none"/>
        </w:rPr>
        <w:t xml:space="preserve">                                 </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b/>
          <w:color w:val="auto"/>
          <w:sz w:val="32"/>
          <w:szCs w:val="32"/>
          <w:highlight w:val="none"/>
          <w:lang w:val="en-US" w:eastAsia="zh-CN"/>
        </w:rPr>
      </w:pPr>
      <w:r>
        <w:rPr>
          <w:rFonts w:hint="eastAsia" w:ascii="宋体"/>
          <w:b/>
          <w:color w:val="auto"/>
          <w:sz w:val="32"/>
          <w:szCs w:val="32"/>
          <w:highlight w:val="none"/>
          <w:lang w:val="en-US" w:eastAsia="zh-CN"/>
        </w:rPr>
        <w:t>平顶山东部客运枢纽站项目施工及监理</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b/>
          <w:color w:val="auto"/>
          <w:sz w:val="32"/>
          <w:szCs w:val="32"/>
          <w:highlight w:val="none"/>
        </w:rPr>
      </w:pPr>
      <w:r>
        <w:rPr>
          <w:rFonts w:hint="eastAsia" w:ascii="宋体"/>
          <w:b/>
          <w:color w:val="auto"/>
          <w:sz w:val="32"/>
          <w:szCs w:val="32"/>
          <w:highlight w:val="none"/>
        </w:rPr>
        <w:t>（第   标段）</w:t>
      </w:r>
    </w:p>
    <w:p>
      <w:pPr>
        <w:pStyle w:val="22"/>
        <w:rPr>
          <w:rFonts w:ascii="宋体" w:hAnsi="宋体"/>
          <w:bCs/>
          <w:color w:val="auto"/>
          <w:sz w:val="32"/>
          <w:szCs w:val="32"/>
          <w:highlight w:val="none"/>
        </w:rPr>
      </w:pPr>
    </w:p>
    <w:p>
      <w:pPr>
        <w:spacing w:line="360" w:lineRule="auto"/>
        <w:jc w:val="center"/>
        <w:rPr>
          <w:rFonts w:hint="eastAsia" w:ascii="宋体"/>
          <w:b/>
          <w:bCs/>
          <w:color w:val="auto"/>
          <w:sz w:val="72"/>
          <w:szCs w:val="72"/>
          <w:highlight w:val="none"/>
        </w:rPr>
      </w:pPr>
      <w:bookmarkStart w:id="902" w:name="_Toc15999_WPSOffice_Level1"/>
      <w:r>
        <w:rPr>
          <w:rFonts w:hint="eastAsia" w:ascii="宋体"/>
          <w:b/>
          <w:bCs/>
          <w:color w:val="auto"/>
          <w:sz w:val="72"/>
          <w:szCs w:val="72"/>
          <w:highlight w:val="none"/>
        </w:rPr>
        <w:t>投</w:t>
      </w:r>
      <w:r>
        <w:rPr>
          <w:rFonts w:hint="eastAsia" w:ascii="宋体"/>
          <w:b/>
          <w:bCs/>
          <w:color w:val="auto"/>
          <w:sz w:val="72"/>
          <w:szCs w:val="72"/>
          <w:highlight w:val="none"/>
        </w:rPr>
        <w:tab/>
      </w:r>
      <w:r>
        <w:rPr>
          <w:rFonts w:hint="eastAsia" w:ascii="宋体"/>
          <w:b/>
          <w:bCs/>
          <w:color w:val="auto"/>
          <w:sz w:val="72"/>
          <w:szCs w:val="72"/>
          <w:highlight w:val="none"/>
        </w:rPr>
        <w:t>标</w:t>
      </w:r>
      <w:r>
        <w:rPr>
          <w:rFonts w:hint="eastAsia" w:ascii="宋体"/>
          <w:b/>
          <w:bCs/>
          <w:color w:val="auto"/>
          <w:sz w:val="72"/>
          <w:szCs w:val="72"/>
          <w:highlight w:val="none"/>
        </w:rPr>
        <w:tab/>
      </w:r>
      <w:r>
        <w:rPr>
          <w:rFonts w:hint="eastAsia" w:ascii="宋体"/>
          <w:b/>
          <w:bCs/>
          <w:color w:val="auto"/>
          <w:sz w:val="72"/>
          <w:szCs w:val="72"/>
          <w:highlight w:val="none"/>
        </w:rPr>
        <w:t>文</w:t>
      </w:r>
      <w:r>
        <w:rPr>
          <w:rFonts w:hint="eastAsia" w:ascii="宋体"/>
          <w:b/>
          <w:bCs/>
          <w:color w:val="auto"/>
          <w:sz w:val="72"/>
          <w:szCs w:val="72"/>
          <w:highlight w:val="none"/>
        </w:rPr>
        <w:tab/>
      </w:r>
      <w:r>
        <w:rPr>
          <w:rFonts w:hint="eastAsia" w:ascii="宋体"/>
          <w:b/>
          <w:bCs/>
          <w:color w:val="auto"/>
          <w:sz w:val="72"/>
          <w:szCs w:val="72"/>
          <w:highlight w:val="none"/>
        </w:rPr>
        <w:t>件</w:t>
      </w:r>
      <w:bookmarkEnd w:id="902"/>
    </w:p>
    <w:p>
      <w:pPr>
        <w:spacing w:line="360" w:lineRule="auto"/>
        <w:ind w:firstLine="3640" w:firstLineChars="1300"/>
        <w:rPr>
          <w:rFonts w:hint="eastAsia" w:ascii="宋体"/>
          <w:color w:val="auto"/>
          <w:sz w:val="28"/>
          <w:szCs w:val="28"/>
          <w:highlight w:val="none"/>
          <w:u w:val="single"/>
        </w:rPr>
      </w:pPr>
      <w:bookmarkStart w:id="903" w:name="_Toc4844_WPSOffice_Level1"/>
      <w:r>
        <w:rPr>
          <w:rFonts w:hint="eastAsia" w:ascii="宋体"/>
          <w:bCs/>
          <w:color w:val="auto"/>
          <w:sz w:val="28"/>
          <w:szCs w:val="28"/>
          <w:highlight w:val="none"/>
          <w:lang w:val="en-US" w:eastAsia="zh-CN"/>
        </w:rPr>
        <w:t>项目</w:t>
      </w:r>
      <w:r>
        <w:rPr>
          <w:rFonts w:hint="eastAsia" w:ascii="宋体"/>
          <w:bCs/>
          <w:color w:val="auto"/>
          <w:sz w:val="28"/>
          <w:szCs w:val="28"/>
          <w:highlight w:val="none"/>
        </w:rPr>
        <w:t>编号</w:t>
      </w:r>
      <w:r>
        <w:rPr>
          <w:rFonts w:hint="eastAsia" w:ascii="宋体"/>
          <w:color w:val="auto"/>
          <w:sz w:val="28"/>
          <w:szCs w:val="28"/>
          <w:highlight w:val="none"/>
        </w:rPr>
        <w:t>：</w:t>
      </w:r>
      <w:bookmarkEnd w:id="903"/>
    </w:p>
    <w:p>
      <w:pPr>
        <w:spacing w:line="360" w:lineRule="auto"/>
        <w:ind w:firstLine="560" w:firstLineChars="200"/>
        <w:rPr>
          <w:rFonts w:hint="eastAsia" w:ascii="宋体"/>
          <w:color w:val="auto"/>
          <w:sz w:val="28"/>
          <w:szCs w:val="28"/>
          <w:highlight w:val="none"/>
        </w:rPr>
      </w:pPr>
    </w:p>
    <w:p>
      <w:pPr>
        <w:spacing w:line="360" w:lineRule="auto"/>
        <w:ind w:firstLine="560" w:firstLineChars="200"/>
        <w:rPr>
          <w:rFonts w:hint="eastAsia" w:ascii="宋体"/>
          <w:color w:val="auto"/>
          <w:sz w:val="28"/>
          <w:szCs w:val="28"/>
          <w:highlight w:val="none"/>
        </w:rPr>
      </w:pPr>
    </w:p>
    <w:p>
      <w:pPr>
        <w:spacing w:line="360" w:lineRule="auto"/>
        <w:ind w:firstLine="560" w:firstLineChars="200"/>
        <w:rPr>
          <w:rFonts w:hint="eastAsia" w:ascii="宋体"/>
          <w:color w:val="auto"/>
          <w:sz w:val="28"/>
          <w:szCs w:val="28"/>
          <w:highlight w:val="none"/>
        </w:rPr>
      </w:pPr>
      <w:r>
        <w:rPr>
          <w:rFonts w:hint="eastAsia" w:ascii="宋体"/>
          <w:color w:val="auto"/>
          <w:sz w:val="28"/>
          <w:szCs w:val="28"/>
          <w:highlight w:val="none"/>
        </w:rPr>
        <w:t xml:space="preserve"> </w:t>
      </w:r>
    </w:p>
    <w:p>
      <w:pPr>
        <w:spacing w:line="360" w:lineRule="auto"/>
        <w:rPr>
          <w:rFonts w:hint="eastAsia" w:ascii="宋体"/>
          <w:color w:val="auto"/>
          <w:sz w:val="28"/>
          <w:szCs w:val="28"/>
          <w:highlight w:val="none"/>
        </w:rPr>
      </w:pPr>
    </w:p>
    <w:p>
      <w:pPr>
        <w:spacing w:line="360" w:lineRule="auto"/>
        <w:jc w:val="center"/>
        <w:rPr>
          <w:rFonts w:hint="eastAsia" w:ascii="宋体"/>
          <w:color w:val="auto"/>
          <w:sz w:val="28"/>
          <w:szCs w:val="28"/>
          <w:highlight w:val="none"/>
        </w:rPr>
      </w:pPr>
    </w:p>
    <w:p>
      <w:pPr>
        <w:spacing w:line="360" w:lineRule="auto"/>
        <w:jc w:val="center"/>
        <w:rPr>
          <w:rFonts w:hint="eastAsia" w:ascii="宋体"/>
          <w:color w:val="auto"/>
          <w:sz w:val="28"/>
          <w:szCs w:val="28"/>
          <w:highlight w:val="none"/>
        </w:rPr>
      </w:pPr>
    </w:p>
    <w:p>
      <w:pPr>
        <w:pStyle w:val="22"/>
        <w:rPr>
          <w:rFonts w:ascii="宋体" w:hAnsi="宋体"/>
          <w:color w:val="auto"/>
          <w:sz w:val="28"/>
          <w:szCs w:val="28"/>
          <w:highlight w:val="none"/>
        </w:rPr>
      </w:pPr>
    </w:p>
    <w:p>
      <w:pPr>
        <w:pStyle w:val="22"/>
        <w:rPr>
          <w:rFonts w:ascii="宋体" w:hAnsi="宋体"/>
          <w:color w:val="auto"/>
          <w:sz w:val="28"/>
          <w:szCs w:val="28"/>
          <w:highlight w:val="none"/>
        </w:rPr>
      </w:pPr>
    </w:p>
    <w:p>
      <w:pPr>
        <w:pStyle w:val="22"/>
        <w:rPr>
          <w:rFonts w:ascii="宋体" w:hAnsi="宋体"/>
          <w:color w:val="auto"/>
          <w:sz w:val="28"/>
          <w:szCs w:val="28"/>
          <w:highlight w:val="none"/>
        </w:rPr>
      </w:pPr>
    </w:p>
    <w:p>
      <w:pPr>
        <w:spacing w:line="360" w:lineRule="auto"/>
        <w:jc w:val="center"/>
        <w:rPr>
          <w:rFonts w:hint="eastAsia" w:ascii="宋体"/>
          <w:color w:val="auto"/>
          <w:sz w:val="28"/>
          <w:szCs w:val="28"/>
          <w:highlight w:val="none"/>
        </w:rPr>
      </w:pPr>
    </w:p>
    <w:p>
      <w:pPr>
        <w:spacing w:line="360" w:lineRule="auto"/>
        <w:ind w:firstLine="1680" w:firstLineChars="600"/>
        <w:rPr>
          <w:rFonts w:hint="eastAsia" w:ascii="宋体"/>
          <w:color w:val="auto"/>
          <w:sz w:val="28"/>
          <w:szCs w:val="28"/>
          <w:highlight w:val="none"/>
          <w:u w:val="single"/>
        </w:rPr>
      </w:pPr>
      <w:bookmarkStart w:id="904" w:name="_Toc27562_WPSOffice_Level1"/>
      <w:r>
        <w:rPr>
          <w:rFonts w:hint="eastAsia" w:ascii="宋体"/>
          <w:color w:val="auto"/>
          <w:sz w:val="28"/>
          <w:szCs w:val="28"/>
          <w:highlight w:val="none"/>
        </w:rPr>
        <w:t xml:space="preserve">投标人： </w:t>
      </w:r>
      <w:r>
        <w:rPr>
          <w:rFonts w:hint="eastAsia" w:ascii="宋体"/>
          <w:color w:val="auto"/>
          <w:sz w:val="28"/>
          <w:szCs w:val="28"/>
          <w:highlight w:val="none"/>
          <w:u w:val="single"/>
        </w:rPr>
        <w:t xml:space="preserve">                       </w:t>
      </w:r>
      <w:r>
        <w:rPr>
          <w:rFonts w:hint="eastAsia" w:ascii="宋体"/>
          <w:color w:val="auto"/>
          <w:sz w:val="28"/>
          <w:szCs w:val="28"/>
          <w:highlight w:val="none"/>
        </w:rPr>
        <w:t>（电子</w:t>
      </w:r>
      <w:r>
        <w:rPr>
          <w:rFonts w:hint="eastAsia" w:ascii="宋体" w:cs="宋体"/>
          <w:color w:val="auto"/>
          <w:sz w:val="28"/>
          <w:szCs w:val="28"/>
          <w:highlight w:val="none"/>
          <w:lang w:bidi="ar-SA"/>
        </w:rPr>
        <w:t>签</w:t>
      </w:r>
      <w:r>
        <w:rPr>
          <w:rFonts w:hint="eastAsia" w:ascii="宋体"/>
          <w:color w:val="auto"/>
          <w:sz w:val="28"/>
          <w:szCs w:val="28"/>
          <w:highlight w:val="none"/>
        </w:rPr>
        <w:t>章）</w:t>
      </w:r>
      <w:bookmarkEnd w:id="904"/>
      <w:r>
        <w:rPr>
          <w:rFonts w:hint="eastAsia" w:ascii="宋体"/>
          <w:color w:val="auto"/>
          <w:sz w:val="28"/>
          <w:szCs w:val="28"/>
          <w:highlight w:val="none"/>
        </w:rPr>
        <w:t xml:space="preserve">  </w:t>
      </w:r>
    </w:p>
    <w:p>
      <w:pPr>
        <w:spacing w:line="360" w:lineRule="auto"/>
        <w:jc w:val="center"/>
        <w:rPr>
          <w:rFonts w:hint="eastAsia" w:ascii="宋体"/>
          <w:color w:val="auto"/>
          <w:sz w:val="28"/>
          <w:szCs w:val="28"/>
          <w:highlight w:val="none"/>
        </w:rPr>
      </w:pPr>
      <w:bookmarkStart w:id="905" w:name="_Toc1807_WPSOffice_Level1"/>
      <w:r>
        <w:rPr>
          <w:rFonts w:hint="eastAsia" w:ascii="宋体"/>
          <w:color w:val="auto"/>
          <w:sz w:val="28"/>
          <w:szCs w:val="28"/>
          <w:highlight w:val="none"/>
        </w:rPr>
        <w:t xml:space="preserve">法定代表人或其委托代理人： </w:t>
      </w:r>
      <w:r>
        <w:rPr>
          <w:rFonts w:hint="eastAsia" w:ascii="宋体"/>
          <w:color w:val="auto"/>
          <w:sz w:val="28"/>
          <w:szCs w:val="28"/>
          <w:highlight w:val="none"/>
          <w:u w:val="single"/>
        </w:rPr>
        <w:t xml:space="preserve">            </w:t>
      </w:r>
      <w:r>
        <w:rPr>
          <w:rFonts w:hint="eastAsia" w:ascii="宋体"/>
          <w:color w:val="auto"/>
          <w:sz w:val="28"/>
          <w:szCs w:val="28"/>
          <w:highlight w:val="none"/>
        </w:rPr>
        <w:t>（</w:t>
      </w:r>
      <w:r>
        <w:rPr>
          <w:rFonts w:hint="eastAsia" w:ascii="宋体" w:cs="宋体"/>
          <w:color w:val="auto"/>
          <w:sz w:val="28"/>
          <w:szCs w:val="28"/>
          <w:highlight w:val="none"/>
          <w:lang w:bidi="ar-SA"/>
        </w:rPr>
        <w:t>电子签章</w:t>
      </w:r>
      <w:r>
        <w:rPr>
          <w:rFonts w:hint="eastAsia" w:ascii="宋体"/>
          <w:color w:val="auto"/>
          <w:sz w:val="28"/>
          <w:szCs w:val="28"/>
          <w:highlight w:val="none"/>
        </w:rPr>
        <w:t>）</w:t>
      </w:r>
      <w:bookmarkEnd w:id="905"/>
    </w:p>
    <w:p>
      <w:pPr>
        <w:spacing w:line="360" w:lineRule="auto"/>
        <w:jc w:val="center"/>
        <w:rPr>
          <w:rFonts w:hint="eastAsia" w:ascii="黑体" w:eastAsia="黑体"/>
          <w:color w:val="auto"/>
          <w:sz w:val="36"/>
          <w:szCs w:val="36"/>
          <w:highlight w:val="none"/>
        </w:rPr>
      </w:pPr>
      <w:r>
        <w:rPr>
          <w:rFonts w:hint="eastAsia" w:ascii="宋体"/>
          <w:color w:val="auto"/>
          <w:sz w:val="28"/>
          <w:szCs w:val="28"/>
          <w:highlight w:val="none"/>
        </w:rPr>
        <w:t xml:space="preserve">     </w:t>
      </w:r>
      <w:bookmarkStart w:id="906" w:name="_Toc3319_WPSOffice_Level1"/>
      <w:r>
        <w:rPr>
          <w:rFonts w:hint="eastAsia" w:ascii="宋体"/>
          <w:color w:val="auto"/>
          <w:sz w:val="28"/>
          <w:szCs w:val="28"/>
          <w:highlight w:val="none"/>
        </w:rPr>
        <w:t>年   月   日</w:t>
      </w:r>
      <w:bookmarkEnd w:id="906"/>
      <w:bookmarkStart w:id="907" w:name="_Toc448154706"/>
      <w:bookmarkStart w:id="908" w:name="_Toc202941486"/>
    </w:p>
    <w:p>
      <w:pPr>
        <w:spacing w:before="240" w:beforeLines="100" w:after="240" w:afterLines="100"/>
        <w:jc w:val="center"/>
        <w:rPr>
          <w:rFonts w:hint="eastAsia" w:ascii="黑体" w:eastAsia="黑体"/>
          <w:color w:val="auto"/>
          <w:sz w:val="36"/>
          <w:szCs w:val="36"/>
          <w:highlight w:val="none"/>
        </w:rPr>
      </w:pPr>
      <w:r>
        <w:rPr>
          <w:rFonts w:hint="eastAsia" w:ascii="黑体" w:eastAsia="黑体"/>
          <w:color w:val="auto"/>
          <w:sz w:val="36"/>
          <w:szCs w:val="36"/>
          <w:highlight w:val="none"/>
        </w:rPr>
        <w:br w:type="page"/>
      </w:r>
    </w:p>
    <w:p>
      <w:pPr>
        <w:spacing w:before="240" w:beforeLines="100" w:after="240" w:afterLines="100"/>
        <w:jc w:val="center"/>
        <w:rPr>
          <w:rFonts w:hint="eastAsia" w:ascii="黑体" w:eastAsia="黑体"/>
          <w:color w:val="auto"/>
          <w:sz w:val="36"/>
          <w:szCs w:val="36"/>
          <w:highlight w:val="none"/>
        </w:rPr>
      </w:pPr>
    </w:p>
    <w:p>
      <w:pPr>
        <w:spacing w:before="240" w:beforeLines="100" w:after="240" w:afterLines="100"/>
        <w:jc w:val="center"/>
        <w:rPr>
          <w:rFonts w:hint="eastAsia" w:ascii="黑体" w:eastAsia="黑体"/>
          <w:color w:val="auto"/>
          <w:sz w:val="36"/>
          <w:szCs w:val="36"/>
          <w:highlight w:val="none"/>
        </w:rPr>
      </w:pPr>
      <w:r>
        <w:rPr>
          <w:rFonts w:hint="eastAsia" w:ascii="黑体" w:eastAsia="黑体"/>
          <w:color w:val="auto"/>
          <w:sz w:val="36"/>
          <w:szCs w:val="36"/>
          <w:highlight w:val="none"/>
        </w:rPr>
        <w:t>目    录</w:t>
      </w:r>
    </w:p>
    <w:p>
      <w:pPr>
        <w:spacing w:line="480" w:lineRule="auto"/>
        <w:ind w:firstLine="480" w:firstLineChars="200"/>
        <w:rPr>
          <w:rFonts w:hint="eastAsia" w:ascii="宋体" w:cs="宋体"/>
          <w:color w:val="auto"/>
          <w:sz w:val="24"/>
          <w:highlight w:val="none"/>
          <w:lang w:bidi="ar-SA"/>
        </w:rPr>
      </w:pPr>
      <w:bookmarkStart w:id="909" w:name="_Toc22568_WPSOffice_Level1"/>
      <w:r>
        <w:rPr>
          <w:rFonts w:hint="eastAsia" w:ascii="宋体" w:cs="宋体"/>
          <w:color w:val="auto"/>
          <w:sz w:val="24"/>
          <w:highlight w:val="none"/>
          <w:lang w:bidi="ar-SA"/>
        </w:rPr>
        <w:t>一、投标函及投标函附录</w:t>
      </w:r>
      <w:bookmarkEnd w:id="909"/>
    </w:p>
    <w:p>
      <w:pPr>
        <w:spacing w:line="480" w:lineRule="auto"/>
        <w:ind w:firstLine="480" w:firstLineChars="200"/>
        <w:rPr>
          <w:rFonts w:hint="eastAsia" w:ascii="宋体" w:cs="宋体"/>
          <w:color w:val="auto"/>
          <w:sz w:val="24"/>
          <w:highlight w:val="none"/>
          <w:lang w:bidi="ar-SA"/>
        </w:rPr>
      </w:pPr>
      <w:bookmarkStart w:id="910" w:name="_Toc28745_WPSOffice_Level1"/>
      <w:r>
        <w:rPr>
          <w:rFonts w:hint="eastAsia" w:ascii="宋体" w:cs="宋体"/>
          <w:color w:val="auto"/>
          <w:sz w:val="24"/>
          <w:highlight w:val="none"/>
          <w:lang w:bidi="ar-SA"/>
        </w:rPr>
        <w:t>二、法定代表人身份证明</w:t>
      </w:r>
      <w:bookmarkEnd w:id="910"/>
    </w:p>
    <w:p>
      <w:pPr>
        <w:spacing w:line="480" w:lineRule="auto"/>
        <w:ind w:firstLine="480" w:firstLineChars="200"/>
        <w:rPr>
          <w:rFonts w:hint="eastAsia" w:ascii="宋体" w:cs="宋体"/>
          <w:color w:val="auto"/>
          <w:sz w:val="24"/>
          <w:highlight w:val="none"/>
          <w:lang w:bidi="ar-SA"/>
        </w:rPr>
      </w:pPr>
      <w:bookmarkStart w:id="911" w:name="_Toc18811_WPSOffice_Level1"/>
      <w:r>
        <w:rPr>
          <w:rFonts w:hint="eastAsia" w:ascii="宋体" w:cs="宋体"/>
          <w:color w:val="auto"/>
          <w:sz w:val="24"/>
          <w:highlight w:val="none"/>
          <w:lang w:bidi="ar-SA"/>
        </w:rPr>
        <w:t>三、授权委托书</w:t>
      </w:r>
      <w:bookmarkEnd w:id="911"/>
    </w:p>
    <w:p>
      <w:pPr>
        <w:spacing w:line="480" w:lineRule="auto"/>
        <w:ind w:firstLine="480" w:firstLineChars="200"/>
        <w:rPr>
          <w:rFonts w:hint="eastAsia" w:ascii="宋体" w:cs="宋体"/>
          <w:color w:val="auto"/>
          <w:sz w:val="24"/>
          <w:highlight w:val="none"/>
          <w:lang w:bidi="ar-SA"/>
        </w:rPr>
      </w:pPr>
      <w:bookmarkStart w:id="912" w:name="_Toc27926_WPSOffice_Level1"/>
      <w:r>
        <w:rPr>
          <w:rFonts w:hint="eastAsia" w:ascii="宋体" w:cs="宋体"/>
          <w:color w:val="auto"/>
          <w:sz w:val="24"/>
          <w:highlight w:val="none"/>
          <w:lang w:bidi="ar-SA"/>
        </w:rPr>
        <w:t>四、投标保证金</w:t>
      </w:r>
      <w:bookmarkEnd w:id="912"/>
    </w:p>
    <w:p>
      <w:pPr>
        <w:spacing w:line="480" w:lineRule="auto"/>
        <w:ind w:firstLine="480" w:firstLineChars="200"/>
        <w:rPr>
          <w:rFonts w:hint="eastAsia" w:ascii="宋体" w:cs="宋体"/>
          <w:color w:val="auto"/>
          <w:sz w:val="24"/>
          <w:highlight w:val="none"/>
          <w:lang w:bidi="ar-SA"/>
        </w:rPr>
      </w:pPr>
      <w:bookmarkStart w:id="913" w:name="_Toc30939_WPSOffice_Level1"/>
      <w:r>
        <w:rPr>
          <w:rFonts w:hint="eastAsia" w:ascii="宋体" w:cs="宋体"/>
          <w:color w:val="auto"/>
          <w:sz w:val="24"/>
          <w:highlight w:val="none"/>
          <w:lang w:bidi="ar-SA"/>
        </w:rPr>
        <w:t>五、已标价工程量清单</w:t>
      </w:r>
      <w:bookmarkEnd w:id="913"/>
    </w:p>
    <w:p>
      <w:pPr>
        <w:spacing w:line="480" w:lineRule="auto"/>
        <w:ind w:firstLine="480" w:firstLineChars="200"/>
        <w:rPr>
          <w:rFonts w:hint="eastAsia" w:ascii="宋体" w:cs="宋体"/>
          <w:color w:val="auto"/>
          <w:sz w:val="24"/>
          <w:highlight w:val="none"/>
          <w:lang w:bidi="ar-SA"/>
        </w:rPr>
      </w:pPr>
      <w:bookmarkStart w:id="914" w:name="_Toc9530_WPSOffice_Level1"/>
      <w:r>
        <w:rPr>
          <w:rFonts w:hint="eastAsia" w:ascii="宋体" w:cs="宋体"/>
          <w:color w:val="auto"/>
          <w:sz w:val="24"/>
          <w:highlight w:val="none"/>
          <w:lang w:bidi="ar-SA"/>
        </w:rPr>
        <w:t>六、施工组织设计</w:t>
      </w:r>
      <w:bookmarkEnd w:id="914"/>
    </w:p>
    <w:p>
      <w:pPr>
        <w:spacing w:line="480" w:lineRule="auto"/>
        <w:ind w:firstLine="480" w:firstLineChars="200"/>
        <w:rPr>
          <w:rFonts w:hint="eastAsia" w:ascii="宋体" w:cs="宋体"/>
          <w:color w:val="auto"/>
          <w:sz w:val="24"/>
          <w:highlight w:val="none"/>
          <w:lang w:bidi="ar-SA"/>
        </w:rPr>
      </w:pPr>
      <w:bookmarkStart w:id="915" w:name="_Toc22212_WPSOffice_Level1"/>
      <w:r>
        <w:rPr>
          <w:rFonts w:hint="eastAsia" w:ascii="宋体" w:cs="宋体"/>
          <w:color w:val="auto"/>
          <w:sz w:val="24"/>
          <w:highlight w:val="none"/>
          <w:lang w:bidi="ar-SA"/>
        </w:rPr>
        <w:t>七、项目管理机构</w:t>
      </w:r>
      <w:bookmarkEnd w:id="915"/>
    </w:p>
    <w:p>
      <w:pPr>
        <w:spacing w:line="480" w:lineRule="auto"/>
        <w:ind w:firstLine="480" w:firstLineChars="200"/>
        <w:rPr>
          <w:rFonts w:hint="eastAsia" w:ascii="宋体" w:cs="宋体"/>
          <w:color w:val="auto"/>
          <w:sz w:val="24"/>
          <w:highlight w:val="none"/>
          <w:lang w:bidi="ar-SA"/>
        </w:rPr>
      </w:pPr>
      <w:bookmarkStart w:id="916" w:name="_Toc27938_WPSOffice_Level1"/>
      <w:r>
        <w:rPr>
          <w:rFonts w:hint="eastAsia" w:ascii="宋体" w:cs="宋体"/>
          <w:color w:val="auto"/>
          <w:sz w:val="24"/>
          <w:highlight w:val="none"/>
          <w:lang w:bidi="ar-SA"/>
        </w:rPr>
        <w:t>八、资格审查资料</w:t>
      </w:r>
      <w:bookmarkEnd w:id="916"/>
    </w:p>
    <w:p>
      <w:pPr>
        <w:spacing w:line="480" w:lineRule="auto"/>
        <w:ind w:firstLine="480" w:firstLineChars="200"/>
        <w:rPr>
          <w:rFonts w:hint="eastAsia" w:ascii="宋体" w:cs="宋体"/>
          <w:color w:val="auto"/>
          <w:sz w:val="24"/>
          <w:highlight w:val="none"/>
          <w:lang w:bidi="ar-SA"/>
        </w:rPr>
      </w:pPr>
      <w:bookmarkStart w:id="917" w:name="_Toc31814_WPSOffice_Level1"/>
      <w:r>
        <w:rPr>
          <w:rFonts w:hint="eastAsia" w:ascii="宋体" w:cs="宋体"/>
          <w:color w:val="auto"/>
          <w:sz w:val="24"/>
          <w:highlight w:val="none"/>
          <w:lang w:bidi="ar-SA"/>
        </w:rPr>
        <w:t>九、其他材料</w:t>
      </w:r>
      <w:bookmarkEnd w:id="917"/>
    </w:p>
    <w:p>
      <w:pPr>
        <w:rPr>
          <w:rFonts w:ascii="黑体" w:hAnsi="黑体"/>
          <w:color w:val="auto"/>
          <w:highlight w:val="none"/>
        </w:rPr>
      </w:pPr>
      <w:r>
        <w:rPr>
          <w:rFonts w:hint="eastAsia" w:ascii="黑体" w:hAnsi="黑体"/>
          <w:color w:val="auto"/>
          <w:highlight w:val="none"/>
        </w:rPr>
        <w:br w:type="page"/>
      </w:r>
    </w:p>
    <w:bookmarkEnd w:id="907"/>
    <w:bookmarkEnd w:id="908"/>
    <w:p>
      <w:pPr>
        <w:pStyle w:val="9"/>
        <w:jc w:val="center"/>
        <w:rPr>
          <w:rFonts w:hint="eastAsia" w:ascii="黑体"/>
          <w:b w:val="0"/>
          <w:color w:val="auto"/>
          <w:highlight w:val="none"/>
        </w:rPr>
      </w:pPr>
      <w:bookmarkStart w:id="918" w:name="_Toc13643_WPSOffice_Level1"/>
      <w:bookmarkStart w:id="919" w:name="_Toc144974860"/>
      <w:bookmarkStart w:id="920" w:name="_Toc247514283"/>
      <w:bookmarkStart w:id="921" w:name="_Toc152045791"/>
      <w:bookmarkStart w:id="922" w:name="_Toc505675477"/>
      <w:bookmarkStart w:id="923" w:name="_Toc247527831"/>
      <w:bookmarkStart w:id="924" w:name="_Toc152042580"/>
      <w:r>
        <w:rPr>
          <w:rFonts w:hint="eastAsia" w:ascii="黑体"/>
          <w:b w:val="0"/>
          <w:color w:val="auto"/>
          <w:highlight w:val="none"/>
        </w:rPr>
        <w:t>一、投标函及投标函附录</w:t>
      </w:r>
    </w:p>
    <w:p>
      <w:pPr>
        <w:spacing w:line="420" w:lineRule="exact"/>
        <w:jc w:val="center"/>
        <w:rPr>
          <w:rFonts w:hint="eastAsia" w:ascii="宋体"/>
          <w:b/>
          <w:bCs/>
          <w:color w:val="auto"/>
          <w:sz w:val="22"/>
          <w:szCs w:val="22"/>
          <w:highlight w:val="none"/>
        </w:rPr>
      </w:pPr>
      <w:r>
        <w:rPr>
          <w:rFonts w:hint="eastAsia" w:ascii="宋体"/>
          <w:b/>
          <w:bCs/>
          <w:color w:val="auto"/>
          <w:sz w:val="22"/>
          <w:szCs w:val="22"/>
          <w:highlight w:val="none"/>
        </w:rPr>
        <w:t>（一）投标函</w:t>
      </w:r>
    </w:p>
    <w:p>
      <w:pPr>
        <w:spacing w:line="480" w:lineRule="auto"/>
        <w:rPr>
          <w:rFonts w:hint="eastAsia" w:ascii="宋体"/>
          <w:color w:val="auto"/>
          <w:szCs w:val="21"/>
          <w:highlight w:val="none"/>
        </w:rPr>
      </w:pPr>
      <w:r>
        <w:rPr>
          <w:rFonts w:hint="eastAsia" w:ascii="宋体"/>
          <w:color w:val="auto"/>
          <w:szCs w:val="21"/>
          <w:highlight w:val="none"/>
        </w:rPr>
        <w:t>致：</w:t>
      </w:r>
      <w:r>
        <w:rPr>
          <w:rFonts w:hint="eastAsia" w:ascii="宋体"/>
          <w:color w:val="auto"/>
          <w:szCs w:val="21"/>
          <w:highlight w:val="none"/>
          <w:u w:val="single"/>
        </w:rPr>
        <w:t xml:space="preserve">                              </w:t>
      </w:r>
      <w:r>
        <w:rPr>
          <w:rFonts w:hint="eastAsia" w:ascii="宋体"/>
          <w:color w:val="auto"/>
          <w:szCs w:val="21"/>
          <w:highlight w:val="none"/>
        </w:rPr>
        <w:t>（招标人名称）</w:t>
      </w:r>
    </w:p>
    <w:p>
      <w:pPr>
        <w:wordWrap w:val="0"/>
        <w:spacing w:line="480" w:lineRule="auto"/>
        <w:ind w:firstLine="420"/>
        <w:rPr>
          <w:rFonts w:hint="eastAsia" w:ascii="宋体"/>
          <w:color w:val="auto"/>
          <w:szCs w:val="21"/>
          <w:highlight w:val="none"/>
        </w:rPr>
      </w:pPr>
      <w:r>
        <w:rPr>
          <w:rFonts w:hint="eastAsia" w:ascii="宋体"/>
          <w:color w:val="auto"/>
          <w:szCs w:val="21"/>
          <w:highlight w:val="none"/>
        </w:rPr>
        <w:t xml:space="preserve">    在充分研究 </w:t>
      </w:r>
      <w:r>
        <w:rPr>
          <w:rFonts w:hint="eastAsia" w:ascii="宋体"/>
          <w:color w:val="auto"/>
          <w:szCs w:val="21"/>
          <w:highlight w:val="none"/>
          <w:u w:val="single"/>
        </w:rPr>
        <w:t xml:space="preserve">                </w:t>
      </w:r>
      <w:r>
        <w:rPr>
          <w:rFonts w:hint="eastAsia" w:ascii="宋体"/>
          <w:color w:val="auto"/>
          <w:szCs w:val="21"/>
          <w:highlight w:val="none"/>
        </w:rPr>
        <w:t>（项目名称）</w:t>
      </w:r>
      <w:r>
        <w:rPr>
          <w:rFonts w:hint="eastAsia" w:ascii="宋体"/>
          <w:color w:val="auto"/>
          <w:szCs w:val="21"/>
          <w:highlight w:val="none"/>
          <w:u w:val="single"/>
        </w:rPr>
        <w:t xml:space="preserve">        </w:t>
      </w:r>
      <w:r>
        <w:rPr>
          <w:rFonts w:hint="eastAsia" w:ascii="宋体"/>
          <w:color w:val="auto"/>
          <w:szCs w:val="21"/>
          <w:highlight w:val="none"/>
        </w:rPr>
        <w:t>（标段）（以下简称“本工程”）施工招标文件的全部内容后，我方兹以：人民币（大写）：</w:t>
      </w:r>
      <w:r>
        <w:rPr>
          <w:rFonts w:hint="eastAsia" w:ascii="宋体"/>
          <w:color w:val="auto"/>
          <w:szCs w:val="21"/>
          <w:highlight w:val="none"/>
          <w:u w:val="single"/>
        </w:rPr>
        <w:t xml:space="preserve">         </w:t>
      </w:r>
      <w:r>
        <w:rPr>
          <w:rFonts w:hint="eastAsia" w:ascii="宋体"/>
          <w:color w:val="auto"/>
          <w:szCs w:val="21"/>
          <w:highlight w:val="none"/>
          <w:lang w:eastAsia="zh-CN"/>
        </w:rPr>
        <w:t>（小写）</w:t>
      </w:r>
      <w:r>
        <w:rPr>
          <w:rFonts w:hint="eastAsia" w:ascii="宋体"/>
          <w:color w:val="auto"/>
          <w:szCs w:val="21"/>
          <w:highlight w:val="none"/>
        </w:rPr>
        <w:t>：</w:t>
      </w:r>
      <w:r>
        <w:rPr>
          <w:rFonts w:hint="eastAsia" w:ascii="宋体"/>
          <w:color w:val="auto"/>
          <w:szCs w:val="21"/>
          <w:highlight w:val="none"/>
          <w:u w:val="single"/>
        </w:rPr>
        <w:t xml:space="preserve">           </w:t>
      </w:r>
      <w:r>
        <w:rPr>
          <w:rFonts w:hint="eastAsia" w:ascii="宋体"/>
          <w:color w:val="auto"/>
          <w:szCs w:val="21"/>
          <w:highlight w:val="none"/>
        </w:rPr>
        <w:t>元的投标总报价，</w:t>
      </w:r>
      <w:r>
        <w:rPr>
          <w:rFonts w:hint="eastAsia" w:ascii="宋体" w:cs="宋体"/>
          <w:color w:val="auto"/>
          <w:szCs w:val="21"/>
          <w:highlight w:val="none"/>
          <w:lang w:bidi="ar-SA"/>
        </w:rPr>
        <w:t>其中投标报价（不含</w:t>
      </w:r>
      <w:r>
        <w:rPr>
          <w:rFonts w:hint="eastAsia" w:ascii="宋体" w:cs="宋体"/>
          <w:color w:val="auto"/>
          <w:szCs w:val="21"/>
          <w:highlight w:val="none"/>
          <w:lang w:eastAsia="zh-CN" w:bidi="ar-SA"/>
        </w:rPr>
        <w:t>安全文明施工费</w:t>
      </w:r>
      <w:r>
        <w:rPr>
          <w:rFonts w:hint="eastAsia" w:ascii="宋体" w:cs="宋体"/>
          <w:color w:val="auto"/>
          <w:szCs w:val="21"/>
          <w:highlight w:val="none"/>
          <w:lang w:bidi="ar-SA"/>
        </w:rPr>
        <w:t>、</w:t>
      </w:r>
      <w:r>
        <w:rPr>
          <w:rFonts w:hint="eastAsia" w:ascii="宋体" w:cs="宋体"/>
          <w:color w:val="auto"/>
          <w:szCs w:val="21"/>
          <w:highlight w:val="none"/>
          <w:lang w:eastAsia="zh-CN" w:bidi="ar-SA"/>
        </w:rPr>
        <w:t>专业暂估价</w:t>
      </w:r>
      <w:r>
        <w:rPr>
          <w:rFonts w:hint="eastAsia" w:ascii="宋体" w:cs="宋体"/>
          <w:color w:val="auto"/>
          <w:szCs w:val="21"/>
          <w:highlight w:val="none"/>
          <w:lang w:bidi="ar-SA"/>
        </w:rPr>
        <w:t>、规费、税金）：</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元，规费：</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元，</w:t>
      </w:r>
      <w:r>
        <w:rPr>
          <w:rFonts w:hint="eastAsia" w:ascii="宋体" w:cs="宋体"/>
          <w:color w:val="auto"/>
          <w:szCs w:val="21"/>
          <w:highlight w:val="none"/>
          <w:lang w:eastAsia="zh-CN" w:bidi="ar-SA"/>
        </w:rPr>
        <w:t>安全文明施工费</w:t>
      </w:r>
      <w:r>
        <w:rPr>
          <w:rFonts w:hint="eastAsia" w:ascii="宋体" w:cs="宋体"/>
          <w:color w:val="auto"/>
          <w:szCs w:val="21"/>
          <w:highlight w:val="none"/>
          <w:lang w:bidi="ar-SA"/>
        </w:rPr>
        <w:t>：</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元，</w:t>
      </w:r>
      <w:r>
        <w:rPr>
          <w:rFonts w:hint="eastAsia" w:ascii="宋体" w:cs="宋体"/>
          <w:color w:val="auto"/>
          <w:szCs w:val="21"/>
          <w:highlight w:val="none"/>
          <w:lang w:eastAsia="zh-CN" w:bidi="ar-SA"/>
        </w:rPr>
        <w:t>专业暂估价</w:t>
      </w:r>
      <w:r>
        <w:rPr>
          <w:rFonts w:hint="eastAsia" w:ascii="宋体" w:cs="宋体"/>
          <w:color w:val="auto"/>
          <w:szCs w:val="21"/>
          <w:highlight w:val="none"/>
          <w:lang w:bidi="ar-SA"/>
        </w:rPr>
        <w:t>：</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元，税金：</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元。措施项目费（不含</w:t>
      </w:r>
      <w:r>
        <w:rPr>
          <w:rFonts w:hint="eastAsia" w:ascii="宋体" w:cs="宋体"/>
          <w:color w:val="auto"/>
          <w:szCs w:val="21"/>
          <w:highlight w:val="none"/>
          <w:lang w:eastAsia="zh-CN" w:bidi="ar-SA"/>
        </w:rPr>
        <w:t>安全文明施工费</w:t>
      </w:r>
      <w:r>
        <w:rPr>
          <w:rFonts w:hint="eastAsia" w:ascii="宋体" w:cs="宋体"/>
          <w:color w:val="auto"/>
          <w:szCs w:val="21"/>
          <w:highlight w:val="none"/>
          <w:lang w:bidi="ar-SA"/>
        </w:rPr>
        <w:t>）：</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元，</w:t>
      </w:r>
      <w:r>
        <w:rPr>
          <w:rFonts w:hint="eastAsia" w:ascii="宋体"/>
          <w:color w:val="auto"/>
          <w:szCs w:val="21"/>
          <w:highlight w:val="none"/>
        </w:rPr>
        <w:t>按合同约定进行实施和完成承包工程，修补工程中的任何缺陷。</w:t>
      </w:r>
    </w:p>
    <w:p>
      <w:pPr>
        <w:wordWrap w:val="0"/>
        <w:spacing w:line="480" w:lineRule="auto"/>
        <w:ind w:firstLine="420"/>
        <w:rPr>
          <w:rFonts w:hint="eastAsia" w:ascii="宋体"/>
          <w:color w:val="auto"/>
          <w:szCs w:val="21"/>
          <w:highlight w:val="none"/>
        </w:rPr>
      </w:pPr>
      <w:r>
        <w:rPr>
          <w:rFonts w:hint="eastAsia" w:ascii="宋体"/>
          <w:color w:val="auto"/>
          <w:szCs w:val="21"/>
          <w:highlight w:val="none"/>
        </w:rPr>
        <w:t>如果我方中标，我方保证在</w:t>
      </w:r>
      <w:r>
        <w:rPr>
          <w:rFonts w:hint="eastAsia" w:ascii="宋体"/>
          <w:color w:val="auto"/>
          <w:szCs w:val="21"/>
          <w:highlight w:val="none"/>
          <w:u w:val="single"/>
        </w:rPr>
        <w:t xml:space="preserve">      </w:t>
      </w:r>
      <w:r>
        <w:rPr>
          <w:rFonts w:hint="eastAsia" w:ascii="宋体"/>
          <w:color w:val="auto"/>
          <w:szCs w:val="21"/>
          <w:highlight w:val="none"/>
        </w:rPr>
        <w:t>日历天完成本工程的施工，并确保工程质量达到</w:t>
      </w:r>
      <w:r>
        <w:rPr>
          <w:rFonts w:hint="eastAsia" w:ascii="宋体"/>
          <w:color w:val="auto"/>
          <w:szCs w:val="21"/>
          <w:highlight w:val="none"/>
          <w:u w:val="single"/>
        </w:rPr>
        <w:t xml:space="preserve">        </w:t>
      </w:r>
      <w:r>
        <w:rPr>
          <w:rFonts w:hint="eastAsia" w:ascii="宋体"/>
          <w:color w:val="auto"/>
          <w:szCs w:val="21"/>
          <w:highlight w:val="none"/>
        </w:rPr>
        <w:t>。我方同意本投标函在招标文件规定的提交投标文件截止时间后，在招标文件规定的投标有效期期满前对我方具有约束力，且随时准备接受你方发出的中标通知书。</w:t>
      </w:r>
    </w:p>
    <w:p>
      <w:pPr>
        <w:spacing w:line="480" w:lineRule="auto"/>
        <w:rPr>
          <w:rFonts w:hint="eastAsia" w:ascii="宋体"/>
          <w:color w:val="auto"/>
          <w:szCs w:val="21"/>
          <w:highlight w:val="none"/>
        </w:rPr>
      </w:pPr>
      <w:r>
        <w:rPr>
          <w:rFonts w:hint="eastAsia" w:ascii="宋体"/>
          <w:color w:val="auto"/>
          <w:szCs w:val="21"/>
          <w:highlight w:val="none"/>
        </w:rPr>
        <w:t xml:space="preserve">    随本投标函递交的投标函附录是本投标函的组成部分，对我方构成约束力。</w:t>
      </w:r>
    </w:p>
    <w:p>
      <w:pPr>
        <w:spacing w:line="480" w:lineRule="auto"/>
        <w:ind w:left="210" w:hanging="210" w:hangingChars="100"/>
        <w:rPr>
          <w:rFonts w:hint="eastAsia" w:ascii="宋体"/>
          <w:color w:val="auto"/>
          <w:szCs w:val="21"/>
          <w:highlight w:val="none"/>
        </w:rPr>
      </w:pPr>
      <w:r>
        <w:rPr>
          <w:rFonts w:hint="eastAsia" w:ascii="宋体"/>
          <w:color w:val="auto"/>
          <w:szCs w:val="21"/>
          <w:highlight w:val="none"/>
        </w:rPr>
        <w:t xml:space="preserve">    在签署协议书之前，你方的中标通知书连同本投标函，包括投标函附录，对双方具有约束力。</w:t>
      </w:r>
    </w:p>
    <w:p>
      <w:pPr>
        <w:spacing w:line="480" w:lineRule="auto"/>
        <w:rPr>
          <w:rFonts w:hint="eastAsia" w:ascii="宋体"/>
          <w:color w:val="auto"/>
          <w:szCs w:val="21"/>
          <w:highlight w:val="none"/>
        </w:rPr>
      </w:pPr>
    </w:p>
    <w:p>
      <w:pPr>
        <w:spacing w:line="420" w:lineRule="exact"/>
        <w:rPr>
          <w:rFonts w:hint="eastAsia" w:ascii="宋体"/>
          <w:color w:val="auto"/>
          <w:szCs w:val="21"/>
          <w:highlight w:val="none"/>
        </w:rPr>
      </w:pPr>
    </w:p>
    <w:p>
      <w:pPr>
        <w:spacing w:line="480" w:lineRule="auto"/>
        <w:rPr>
          <w:rFonts w:hint="eastAsia" w:ascii="宋体"/>
          <w:color w:val="auto"/>
          <w:szCs w:val="21"/>
          <w:highlight w:val="none"/>
        </w:rPr>
      </w:pPr>
    </w:p>
    <w:p>
      <w:pPr>
        <w:wordWrap w:val="0"/>
        <w:spacing w:line="480" w:lineRule="auto"/>
        <w:jc w:val="center"/>
        <w:rPr>
          <w:rFonts w:hint="eastAsia" w:ascii="宋体" w:cs="宋体"/>
          <w:color w:val="auto"/>
          <w:szCs w:val="21"/>
          <w:highlight w:val="none"/>
          <w:lang w:bidi="ar-SA"/>
        </w:rPr>
      </w:pPr>
      <w:r>
        <w:rPr>
          <w:rFonts w:hint="eastAsia" w:ascii="宋体"/>
          <w:color w:val="auto"/>
          <w:szCs w:val="21"/>
          <w:highlight w:val="none"/>
        </w:rPr>
        <w:t xml:space="preserve">                                       </w:t>
      </w:r>
      <w:r>
        <w:rPr>
          <w:rFonts w:hint="eastAsia" w:ascii="宋体" w:cs="宋体"/>
          <w:color w:val="auto"/>
          <w:szCs w:val="21"/>
          <w:highlight w:val="none"/>
          <w:lang w:bidi="ar-SA"/>
        </w:rPr>
        <w:t xml:space="preserve"> 投标人（电子签章）：                     </w:t>
      </w:r>
    </w:p>
    <w:p>
      <w:pPr>
        <w:spacing w:line="480" w:lineRule="auto"/>
        <w:jc w:val="center"/>
        <w:rPr>
          <w:rFonts w:hint="eastAsia" w:ascii="宋体" w:cs="宋体"/>
          <w:color w:val="auto"/>
          <w:szCs w:val="21"/>
          <w:highlight w:val="none"/>
          <w:lang w:bidi="ar-SA"/>
        </w:rPr>
      </w:pPr>
      <w:r>
        <w:rPr>
          <w:rFonts w:hint="eastAsia" w:ascii="宋体" w:cs="宋体"/>
          <w:color w:val="auto"/>
          <w:szCs w:val="21"/>
          <w:highlight w:val="none"/>
          <w:lang w:val="en-US" w:eastAsia="zh-CN" w:bidi="ar-SA"/>
        </w:rPr>
        <w:t xml:space="preserve">               </w:t>
      </w:r>
      <w:r>
        <w:rPr>
          <w:rFonts w:hint="eastAsia" w:ascii="宋体" w:cs="宋体"/>
          <w:color w:val="auto"/>
          <w:szCs w:val="21"/>
          <w:highlight w:val="none"/>
          <w:lang w:bidi="ar-SA"/>
        </w:rPr>
        <w:t xml:space="preserve">法定代表人（电子签章）：           </w:t>
      </w:r>
    </w:p>
    <w:p>
      <w:pPr>
        <w:spacing w:line="480" w:lineRule="auto"/>
        <w:ind w:firstLine="420" w:firstLineChars="200"/>
        <w:jc w:val="right"/>
        <w:rPr>
          <w:rFonts w:hint="eastAsia" w:ascii="宋体" w:cs="宋体"/>
          <w:color w:val="auto"/>
          <w:szCs w:val="21"/>
          <w:highlight w:val="none"/>
          <w:lang w:bidi="ar-SA"/>
        </w:rPr>
      </w:pPr>
      <w:r>
        <w:rPr>
          <w:rFonts w:hint="eastAsia" w:ascii="宋体" w:cs="宋体"/>
          <w:color w:val="auto"/>
          <w:szCs w:val="21"/>
          <w:highlight w:val="none"/>
          <w:lang w:bidi="ar-SA"/>
        </w:rPr>
        <w:tab/>
      </w:r>
      <w:r>
        <w:rPr>
          <w:rFonts w:hint="eastAsia" w:ascii="宋体" w:cs="宋体"/>
          <w:color w:val="auto"/>
          <w:szCs w:val="21"/>
          <w:highlight w:val="none"/>
          <w:lang w:bidi="ar-SA"/>
        </w:rPr>
        <w:t>年     月     日</w:t>
      </w: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bookmarkStart w:id="925" w:name="_Toc247514249"/>
      <w:bookmarkStart w:id="926" w:name="_Toc247527830"/>
      <w:bookmarkStart w:id="927" w:name="_Toc505675476"/>
      <w:bookmarkStart w:id="928" w:name="_Toc152042579"/>
      <w:bookmarkStart w:id="929" w:name="_Toc144974859"/>
      <w:bookmarkStart w:id="930" w:name="_Toc152045790"/>
      <w:r>
        <w:rPr>
          <w:rFonts w:hint="eastAsia" w:ascii="新宋体" w:eastAsia="新宋体" w:cs="新宋体"/>
          <w:color w:val="auto"/>
          <w:sz w:val="24"/>
          <w:highlight w:val="none"/>
          <w:lang w:bidi="ar-SA"/>
        </w:rPr>
        <w:br w:type="page"/>
      </w:r>
    </w:p>
    <w:p>
      <w:pPr>
        <w:pStyle w:val="22"/>
        <w:jc w:val="center"/>
        <w:rPr>
          <w:color w:val="auto"/>
          <w:sz w:val="22"/>
          <w:szCs w:val="22"/>
          <w:highlight w:val="none"/>
        </w:rPr>
      </w:pPr>
      <w:r>
        <w:rPr>
          <w:rFonts w:hint="eastAsia" w:ascii="新宋体" w:eastAsia="新宋体" w:cs="新宋体"/>
          <w:color w:val="auto"/>
          <w:highlight w:val="none"/>
          <w:lang w:bidi="ar-SA"/>
        </w:rPr>
        <w:t>（二）投标函附录</w:t>
      </w:r>
      <w:bookmarkEnd w:id="925"/>
      <w:bookmarkEnd w:id="926"/>
      <w:bookmarkEnd w:id="927"/>
      <w:bookmarkEnd w:id="928"/>
      <w:bookmarkEnd w:id="929"/>
      <w:bookmarkEnd w:id="930"/>
    </w:p>
    <w:tbl>
      <w:tblPr>
        <w:tblStyle w:val="19"/>
        <w:tblW w:w="0" w:type="auto"/>
        <w:jc w:val="center"/>
        <w:tblLayout w:type="fixed"/>
        <w:tblCellMar>
          <w:top w:w="0" w:type="dxa"/>
          <w:left w:w="108" w:type="dxa"/>
          <w:bottom w:w="0" w:type="dxa"/>
          <w:right w:w="108" w:type="dxa"/>
        </w:tblCellMar>
      </w:tblPr>
      <w:tblGrid>
        <w:gridCol w:w="828"/>
        <w:gridCol w:w="761"/>
        <w:gridCol w:w="517"/>
        <w:gridCol w:w="2207"/>
        <w:gridCol w:w="4213"/>
      </w:tblGrid>
      <w:tr>
        <w:tblPrEx>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szCs w:val="21"/>
                <w:highlight w:val="none"/>
              </w:rPr>
            </w:pPr>
            <w:bookmarkStart w:id="931" w:name="_Toc258440232"/>
            <w:bookmarkStart w:id="932" w:name="_Toc258431082"/>
            <w:r>
              <w:rPr>
                <w:rFonts w:hint="eastAsia" w:ascii="宋体" w:hAnsi="宋体" w:eastAsia="宋体" w:cs="宋体"/>
                <w:color w:val="auto"/>
                <w:szCs w:val="21"/>
                <w:highlight w:val="none"/>
              </w:rPr>
              <w:t>序号</w:t>
            </w:r>
          </w:p>
        </w:tc>
        <w:tc>
          <w:tcPr>
            <w:tcW w:w="3485"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42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803" w:hRule="atLeast"/>
          <w:jc w:val="center"/>
        </w:trPr>
        <w:tc>
          <w:tcPr>
            <w:tcW w:w="828" w:type="dxa"/>
            <w:vMerge w:val="restart"/>
            <w:tcBorders>
              <w:top w:val="single" w:color="auto" w:sz="4" w:space="0"/>
              <w:left w:val="single" w:color="auto" w:sz="4" w:space="0"/>
            </w:tcBorders>
            <w:vAlign w:val="center"/>
          </w:tcPr>
          <w:p>
            <w:pPr>
              <w:spacing w:line="360" w:lineRule="auto"/>
              <w:jc w:val="center"/>
              <w:rPr>
                <w:rFonts w:hint="eastAsia" w:ascii="宋体" w:hAnsi="宋体" w:eastAsia="宋体" w:cs="宋体"/>
                <w:color w:val="auto"/>
                <w:szCs w:val="21"/>
                <w:highlight w:val="none"/>
              </w:rPr>
            </w:pPr>
          </w:p>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3485" w:type="dxa"/>
            <w:gridSpan w:val="3"/>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w:t>
            </w:r>
            <w:r>
              <w:rPr>
                <w:rFonts w:hint="eastAsia" w:ascii="宋体" w:hAnsi="宋体" w:eastAsia="宋体" w:cs="宋体"/>
                <w:color w:val="auto"/>
                <w:szCs w:val="21"/>
                <w:highlight w:val="none"/>
                <w:lang w:eastAsia="zh-CN"/>
              </w:rPr>
              <w:t>总</w:t>
            </w:r>
            <w:r>
              <w:rPr>
                <w:rFonts w:hint="eastAsia" w:ascii="宋体" w:hAnsi="宋体" w:eastAsia="宋体" w:cs="宋体"/>
                <w:color w:val="auto"/>
                <w:szCs w:val="21"/>
                <w:highlight w:val="none"/>
              </w:rPr>
              <w:t>报价</w:t>
            </w:r>
          </w:p>
        </w:tc>
        <w:tc>
          <w:tcPr>
            <w:tcW w:w="4213" w:type="dxa"/>
            <w:tcBorders>
              <w:top w:val="single" w:color="auto" w:sz="6" w:space="0"/>
              <w:left w:val="single" w:color="auto" w:sz="6" w:space="0"/>
              <w:bottom w:val="single" w:color="auto" w:sz="4" w:space="0"/>
              <w:right w:val="single" w:color="auto" w:sz="6" w:space="0"/>
            </w:tcBorders>
            <w:vAlign w:val="center"/>
          </w:tcPr>
          <w:p>
            <w:pPr>
              <w:spacing w:line="360" w:lineRule="auto"/>
              <w:ind w:firstLine="1155" w:firstLineChars="55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（大写）      </w:t>
            </w:r>
          </w:p>
          <w:p>
            <w:pPr>
              <w:spacing w:line="360" w:lineRule="auto"/>
              <w:ind w:firstLine="1155" w:firstLineChars="55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（小写）     </w:t>
            </w:r>
            <w:r>
              <w:rPr>
                <w:rFonts w:hint="eastAsia" w:ascii="宋体" w:hAnsi="宋体" w:eastAsia="宋体" w:cs="宋体"/>
                <w:color w:val="auto"/>
                <w:szCs w:val="21"/>
                <w:highlight w:val="none"/>
              </w:rPr>
              <w:t>元</w:t>
            </w:r>
          </w:p>
        </w:tc>
      </w:tr>
      <w:tr>
        <w:tblPrEx>
          <w:tblCellMar>
            <w:top w:w="0" w:type="dxa"/>
            <w:left w:w="108" w:type="dxa"/>
            <w:bottom w:w="0" w:type="dxa"/>
            <w:right w:w="108" w:type="dxa"/>
          </w:tblCellMar>
        </w:tblPrEx>
        <w:trPr>
          <w:trHeight w:val="658" w:hRule="atLeast"/>
          <w:jc w:val="center"/>
        </w:trPr>
        <w:tc>
          <w:tcPr>
            <w:tcW w:w="828" w:type="dxa"/>
            <w:vMerge w:val="continue"/>
            <w:tcBorders>
              <w:lef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761" w:type="dxa"/>
            <w:vMerge w:val="restart"/>
            <w:tcBorders>
              <w:top w:val="single" w:color="auto" w:sz="4" w:space="0"/>
              <w:left w:val="single" w:color="auto" w:sz="6" w:space="0"/>
              <w:right w:val="single" w:color="auto" w:sz="6" w:space="0"/>
            </w:tcBorders>
            <w:vAlign w:val="center"/>
          </w:tcPr>
          <w:p>
            <w:pPr>
              <w:spacing w:line="360" w:lineRule="auto"/>
              <w:jc w:val="center"/>
              <w:rPr>
                <w:rFonts w:hint="eastAsia" w:ascii="宋体" w:hAnsi="宋体" w:eastAsia="宋体" w:cs="宋体"/>
                <w:color w:val="auto"/>
                <w:szCs w:val="21"/>
                <w:highlight w:val="none"/>
              </w:rPr>
            </w:pPr>
          </w:p>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其中</w:t>
            </w:r>
          </w:p>
        </w:tc>
        <w:tc>
          <w:tcPr>
            <w:tcW w:w="2724" w:type="dxa"/>
            <w:gridSpan w:val="2"/>
            <w:tcBorders>
              <w:top w:val="single" w:color="auto" w:sz="4" w:space="0"/>
              <w:left w:val="single" w:color="auto" w:sz="6" w:space="0"/>
              <w:bottom w:val="single" w:color="auto" w:sz="4" w:space="0"/>
              <w:right w:val="single" w:color="auto" w:sz="6" w:space="0"/>
            </w:tcBorders>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安全文明施工费</w:t>
            </w:r>
          </w:p>
        </w:tc>
        <w:tc>
          <w:tcPr>
            <w:tcW w:w="4213" w:type="dxa"/>
            <w:tcBorders>
              <w:top w:val="single" w:color="auto" w:sz="6" w:space="0"/>
              <w:left w:val="single" w:color="auto" w:sz="6" w:space="0"/>
              <w:bottom w:val="single" w:color="auto" w:sz="4" w:space="0"/>
              <w:right w:val="single" w:color="auto" w:sz="6" w:space="0"/>
            </w:tcBorders>
            <w:vAlign w:val="center"/>
          </w:tcPr>
          <w:p>
            <w:pPr>
              <w:spacing w:line="360" w:lineRule="auto"/>
              <w:ind w:left="-9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w:t>
            </w:r>
          </w:p>
        </w:tc>
      </w:tr>
      <w:tr>
        <w:tblPrEx>
          <w:tblCellMar>
            <w:top w:w="0" w:type="dxa"/>
            <w:left w:w="108" w:type="dxa"/>
            <w:bottom w:w="0" w:type="dxa"/>
            <w:right w:w="108" w:type="dxa"/>
          </w:tblCellMar>
        </w:tblPrEx>
        <w:trPr>
          <w:trHeight w:val="589" w:hRule="atLeast"/>
          <w:jc w:val="center"/>
        </w:trPr>
        <w:tc>
          <w:tcPr>
            <w:tcW w:w="828" w:type="dxa"/>
            <w:vMerge w:val="continue"/>
            <w:tcBorders>
              <w:lef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761" w:type="dxa"/>
            <w:vMerge w:val="continue"/>
            <w:tcBorders>
              <w:left w:val="single" w:color="auto" w:sz="6" w:space="0"/>
              <w:right w:val="single" w:color="auto" w:sz="6" w:space="0"/>
            </w:tcBorders>
            <w:vAlign w:val="center"/>
          </w:tcPr>
          <w:p>
            <w:pPr>
              <w:spacing w:line="360" w:lineRule="auto"/>
              <w:jc w:val="center"/>
              <w:rPr>
                <w:rFonts w:hint="eastAsia" w:ascii="宋体" w:hAnsi="宋体" w:eastAsia="宋体" w:cs="宋体"/>
                <w:color w:val="auto"/>
                <w:szCs w:val="21"/>
                <w:highlight w:val="none"/>
              </w:rPr>
            </w:pPr>
          </w:p>
        </w:tc>
        <w:tc>
          <w:tcPr>
            <w:tcW w:w="2724" w:type="dxa"/>
            <w:gridSpan w:val="2"/>
            <w:tcBorders>
              <w:top w:val="single" w:color="auto" w:sz="4" w:space="0"/>
              <w:left w:val="single" w:color="auto" w:sz="6" w:space="0"/>
              <w:bottom w:val="single" w:color="auto" w:sz="4" w:space="0"/>
              <w:right w:val="single" w:color="auto" w:sz="6" w:space="0"/>
            </w:tcBorders>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规费</w:t>
            </w:r>
          </w:p>
        </w:tc>
        <w:tc>
          <w:tcPr>
            <w:tcW w:w="4213" w:type="dxa"/>
            <w:tcBorders>
              <w:top w:val="single" w:color="auto" w:sz="6" w:space="0"/>
              <w:left w:val="single" w:color="auto" w:sz="6" w:space="0"/>
              <w:bottom w:val="single" w:color="auto" w:sz="4" w:space="0"/>
              <w:right w:val="single" w:color="auto" w:sz="6" w:space="0"/>
            </w:tcBorders>
            <w:vAlign w:val="center"/>
          </w:tcPr>
          <w:p>
            <w:pPr>
              <w:spacing w:line="360" w:lineRule="auto"/>
              <w:ind w:left="-90"/>
              <w:jc w:val="cente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w:t>
            </w:r>
          </w:p>
        </w:tc>
      </w:tr>
      <w:tr>
        <w:tblPrEx>
          <w:tblCellMar>
            <w:top w:w="0" w:type="dxa"/>
            <w:left w:w="108" w:type="dxa"/>
            <w:bottom w:w="0" w:type="dxa"/>
            <w:right w:w="108" w:type="dxa"/>
          </w:tblCellMar>
        </w:tblPrEx>
        <w:trPr>
          <w:trHeight w:val="589" w:hRule="atLeast"/>
          <w:jc w:val="center"/>
        </w:trPr>
        <w:tc>
          <w:tcPr>
            <w:tcW w:w="828" w:type="dxa"/>
            <w:vMerge w:val="continue"/>
            <w:tcBorders>
              <w:lef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761" w:type="dxa"/>
            <w:vMerge w:val="continue"/>
            <w:tcBorders>
              <w:left w:val="single" w:color="auto" w:sz="6" w:space="0"/>
              <w:right w:val="single" w:color="auto" w:sz="6" w:space="0"/>
            </w:tcBorders>
            <w:vAlign w:val="center"/>
          </w:tcPr>
          <w:p>
            <w:pPr>
              <w:spacing w:line="360" w:lineRule="auto"/>
              <w:jc w:val="center"/>
              <w:rPr>
                <w:rFonts w:hint="eastAsia" w:ascii="宋体" w:hAnsi="宋体" w:eastAsia="宋体" w:cs="宋体"/>
                <w:color w:val="auto"/>
                <w:szCs w:val="21"/>
                <w:highlight w:val="none"/>
              </w:rPr>
            </w:pPr>
          </w:p>
        </w:tc>
        <w:tc>
          <w:tcPr>
            <w:tcW w:w="2724" w:type="dxa"/>
            <w:gridSpan w:val="2"/>
            <w:tcBorders>
              <w:top w:val="single" w:color="auto" w:sz="4" w:space="0"/>
              <w:left w:val="single" w:color="auto" w:sz="6" w:space="0"/>
              <w:bottom w:val="single" w:color="auto" w:sz="4" w:space="0"/>
              <w:right w:val="single" w:color="auto" w:sz="6" w:space="0"/>
            </w:tcBorders>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税金</w:t>
            </w:r>
          </w:p>
        </w:tc>
        <w:tc>
          <w:tcPr>
            <w:tcW w:w="4213" w:type="dxa"/>
            <w:tcBorders>
              <w:top w:val="single" w:color="auto" w:sz="6" w:space="0"/>
              <w:left w:val="single" w:color="auto" w:sz="6" w:space="0"/>
              <w:bottom w:val="single" w:color="auto" w:sz="4" w:space="0"/>
              <w:right w:val="single" w:color="auto" w:sz="6" w:space="0"/>
            </w:tcBorders>
            <w:vAlign w:val="center"/>
          </w:tcPr>
          <w:p>
            <w:pPr>
              <w:spacing w:line="360" w:lineRule="auto"/>
              <w:ind w:left="-90"/>
              <w:jc w:val="cente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w:t>
            </w:r>
          </w:p>
        </w:tc>
      </w:tr>
      <w:tr>
        <w:tblPrEx>
          <w:tblCellMar>
            <w:top w:w="0" w:type="dxa"/>
            <w:left w:w="108" w:type="dxa"/>
            <w:bottom w:w="0" w:type="dxa"/>
            <w:right w:w="108" w:type="dxa"/>
          </w:tblCellMar>
        </w:tblPrEx>
        <w:trPr>
          <w:trHeight w:val="589" w:hRule="atLeast"/>
          <w:jc w:val="center"/>
        </w:trPr>
        <w:tc>
          <w:tcPr>
            <w:tcW w:w="828" w:type="dxa"/>
            <w:vMerge w:val="continue"/>
            <w:tcBorders>
              <w:lef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761" w:type="dxa"/>
            <w:vMerge w:val="continue"/>
            <w:tcBorders>
              <w:left w:val="single" w:color="auto" w:sz="6" w:space="0"/>
              <w:right w:val="single" w:color="auto" w:sz="6" w:space="0"/>
            </w:tcBorders>
            <w:vAlign w:val="center"/>
          </w:tcPr>
          <w:p>
            <w:pPr>
              <w:spacing w:line="360" w:lineRule="auto"/>
              <w:jc w:val="center"/>
              <w:rPr>
                <w:rFonts w:hint="eastAsia" w:ascii="宋体" w:hAnsi="宋体" w:eastAsia="宋体" w:cs="宋体"/>
                <w:color w:val="auto"/>
                <w:szCs w:val="21"/>
                <w:highlight w:val="none"/>
              </w:rPr>
            </w:pPr>
          </w:p>
        </w:tc>
        <w:tc>
          <w:tcPr>
            <w:tcW w:w="2724" w:type="dxa"/>
            <w:gridSpan w:val="2"/>
            <w:tcBorders>
              <w:top w:val="single" w:color="auto" w:sz="4" w:space="0"/>
              <w:left w:val="single" w:color="auto" w:sz="6" w:space="0"/>
              <w:bottom w:val="single" w:color="auto" w:sz="4" w:space="0"/>
              <w:right w:val="single" w:color="auto" w:sz="6" w:space="0"/>
            </w:tcBorders>
            <w:vAlign w:val="center"/>
          </w:tcPr>
          <w:p>
            <w:pPr>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专业暂估价</w:t>
            </w:r>
          </w:p>
        </w:tc>
        <w:tc>
          <w:tcPr>
            <w:tcW w:w="4213" w:type="dxa"/>
            <w:tcBorders>
              <w:top w:val="single" w:color="auto" w:sz="6" w:space="0"/>
              <w:left w:val="single" w:color="auto" w:sz="6" w:space="0"/>
              <w:bottom w:val="single" w:color="auto" w:sz="4" w:space="0"/>
              <w:right w:val="single" w:color="auto" w:sz="6" w:space="0"/>
            </w:tcBorders>
            <w:vAlign w:val="center"/>
          </w:tcPr>
          <w:p>
            <w:pPr>
              <w:spacing w:line="360" w:lineRule="auto"/>
              <w:ind w:left="-90"/>
              <w:jc w:val="cente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w:t>
            </w:r>
          </w:p>
        </w:tc>
      </w:tr>
      <w:tr>
        <w:tblPrEx>
          <w:tblCellMar>
            <w:top w:w="0" w:type="dxa"/>
            <w:left w:w="108" w:type="dxa"/>
            <w:bottom w:w="0" w:type="dxa"/>
            <w:right w:w="108" w:type="dxa"/>
          </w:tblCellMar>
        </w:tblPrEx>
        <w:trPr>
          <w:trHeight w:val="557" w:hRule="atLeast"/>
          <w:jc w:val="center"/>
        </w:trPr>
        <w:tc>
          <w:tcPr>
            <w:tcW w:w="828" w:type="dxa"/>
            <w:tcBorders>
              <w:top w:val="single" w:color="auto" w:sz="4" w:space="0"/>
              <w:left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3485" w:type="dxa"/>
            <w:gridSpan w:val="3"/>
            <w:tcBorders>
              <w:top w:val="single" w:color="auto" w:sz="4" w:space="0"/>
              <w:left w:val="single" w:color="auto" w:sz="6" w:space="0"/>
              <w:bottom w:val="single" w:color="auto" w:sz="4" w:space="0"/>
              <w:right w:val="single" w:color="auto" w:sz="6" w:space="0"/>
            </w:tcBorders>
            <w:vAlign w:val="center"/>
          </w:tcPr>
          <w:p>
            <w:pPr>
              <w:spacing w:line="360" w:lineRule="auto"/>
              <w:ind w:firstLine="1050" w:firstLineChars="5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评标报价</w:t>
            </w:r>
          </w:p>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（不含安全文明施工费、规费、税金、</w:t>
            </w:r>
            <w:r>
              <w:rPr>
                <w:rFonts w:hint="eastAsia" w:ascii="宋体" w:hAnsi="宋体" w:cs="宋体"/>
                <w:color w:val="auto"/>
                <w:szCs w:val="21"/>
                <w:highlight w:val="none"/>
                <w:lang w:eastAsia="zh-CN"/>
              </w:rPr>
              <w:t>专业暂估价</w:t>
            </w:r>
            <w:r>
              <w:rPr>
                <w:rFonts w:hint="eastAsia" w:ascii="宋体" w:hAnsi="宋体" w:eastAsia="宋体" w:cs="宋体"/>
                <w:color w:val="auto"/>
                <w:szCs w:val="21"/>
                <w:highlight w:val="none"/>
              </w:rPr>
              <w:t>）</w:t>
            </w:r>
          </w:p>
        </w:tc>
        <w:tc>
          <w:tcPr>
            <w:tcW w:w="4213"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w:t>
            </w:r>
          </w:p>
        </w:tc>
      </w:tr>
      <w:tr>
        <w:tblPrEx>
          <w:tblCellMar>
            <w:top w:w="0" w:type="dxa"/>
            <w:left w:w="108" w:type="dxa"/>
            <w:bottom w:w="0" w:type="dxa"/>
            <w:right w:w="108" w:type="dxa"/>
          </w:tblCellMar>
        </w:tblPrEx>
        <w:trPr>
          <w:trHeight w:val="557" w:hRule="atLeast"/>
          <w:jc w:val="center"/>
        </w:trPr>
        <w:tc>
          <w:tcPr>
            <w:tcW w:w="828" w:type="dxa"/>
            <w:tcBorders>
              <w:top w:val="single" w:color="auto" w:sz="4" w:space="0"/>
              <w:left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3485" w:type="dxa"/>
            <w:gridSpan w:val="3"/>
            <w:tcBorders>
              <w:top w:val="single" w:color="auto" w:sz="4" w:space="0"/>
              <w:left w:val="single" w:color="auto" w:sz="6" w:space="0"/>
              <w:bottom w:val="single" w:color="auto" w:sz="4" w:space="0"/>
              <w:right w:val="single" w:color="auto" w:sz="6" w:space="0"/>
            </w:tcBorders>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措施费（不含安全文明施工费）</w:t>
            </w:r>
          </w:p>
        </w:tc>
        <w:tc>
          <w:tcPr>
            <w:tcW w:w="4213"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w:t>
            </w:r>
          </w:p>
        </w:tc>
      </w:tr>
      <w:tr>
        <w:tblPrEx>
          <w:tblCellMar>
            <w:top w:w="0" w:type="dxa"/>
            <w:left w:w="108" w:type="dxa"/>
            <w:bottom w:w="0" w:type="dxa"/>
            <w:right w:w="108" w:type="dxa"/>
          </w:tblCellMar>
        </w:tblPrEx>
        <w:trPr>
          <w:trHeight w:val="557" w:hRule="atLeast"/>
          <w:jc w:val="center"/>
        </w:trPr>
        <w:tc>
          <w:tcPr>
            <w:tcW w:w="828" w:type="dxa"/>
            <w:tcBorders>
              <w:top w:val="single" w:color="auto" w:sz="4" w:space="0"/>
              <w:left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3485" w:type="dxa"/>
            <w:gridSpan w:val="3"/>
            <w:tcBorders>
              <w:top w:val="single" w:color="auto" w:sz="4" w:space="0"/>
              <w:left w:val="single" w:color="auto" w:sz="6" w:space="0"/>
              <w:bottom w:val="single" w:color="auto" w:sz="4" w:space="0"/>
              <w:right w:val="single" w:color="auto" w:sz="6" w:space="0"/>
            </w:tcBorders>
            <w:vAlign w:val="center"/>
          </w:tcPr>
          <w:p>
            <w:pPr>
              <w:spacing w:line="360" w:lineRule="auto"/>
              <w:ind w:firstLine="1155" w:firstLineChars="55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人工费</w:t>
            </w:r>
          </w:p>
        </w:tc>
        <w:tc>
          <w:tcPr>
            <w:tcW w:w="4213"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w:t>
            </w:r>
          </w:p>
        </w:tc>
      </w:tr>
      <w:tr>
        <w:tblPrEx>
          <w:tblCellMar>
            <w:top w:w="0" w:type="dxa"/>
            <w:left w:w="108" w:type="dxa"/>
            <w:bottom w:w="0" w:type="dxa"/>
            <w:right w:w="108" w:type="dxa"/>
          </w:tblCellMar>
        </w:tblPrEx>
        <w:trPr>
          <w:trHeight w:val="557" w:hRule="atLeast"/>
          <w:jc w:val="center"/>
        </w:trPr>
        <w:tc>
          <w:tcPr>
            <w:tcW w:w="828" w:type="dxa"/>
            <w:tcBorders>
              <w:top w:val="single" w:color="auto" w:sz="4" w:space="0"/>
              <w:left w:val="single" w:color="auto" w:sz="4" w:space="0"/>
              <w:bottom w:val="single" w:color="auto" w:sz="4" w:space="0"/>
            </w:tcBorders>
            <w:vAlign w:val="center"/>
          </w:tcPr>
          <w:p>
            <w:pPr>
              <w:spacing w:line="360" w:lineRule="auto"/>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3485" w:type="dxa"/>
            <w:gridSpan w:val="3"/>
            <w:tcBorders>
              <w:top w:val="single" w:color="auto" w:sz="4" w:space="0"/>
              <w:left w:val="single" w:color="auto" w:sz="6" w:space="0"/>
              <w:bottom w:val="single" w:color="auto" w:sz="4" w:space="0"/>
              <w:right w:val="single" w:color="auto" w:sz="6" w:space="0"/>
            </w:tcBorders>
            <w:vAlign w:val="center"/>
          </w:tcPr>
          <w:p>
            <w:pPr>
              <w:spacing w:line="360" w:lineRule="auto"/>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新增项目结算优惠比例</w:t>
            </w:r>
          </w:p>
        </w:tc>
        <w:tc>
          <w:tcPr>
            <w:tcW w:w="4213"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tc>
      </w:tr>
      <w:tr>
        <w:tblPrEx>
          <w:tblCellMar>
            <w:top w:w="0" w:type="dxa"/>
            <w:left w:w="108" w:type="dxa"/>
            <w:bottom w:w="0" w:type="dxa"/>
            <w:right w:w="108" w:type="dxa"/>
          </w:tblCellMar>
        </w:tblPrEx>
        <w:trPr>
          <w:trHeight w:val="615" w:hRule="atLeast"/>
          <w:jc w:val="center"/>
        </w:trPr>
        <w:tc>
          <w:tcPr>
            <w:tcW w:w="828" w:type="dxa"/>
            <w:tcBorders>
              <w:top w:val="single" w:color="auto" w:sz="4" w:space="0"/>
              <w:left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3485" w:type="dxa"/>
            <w:gridSpan w:val="3"/>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投报施工工期</w:t>
            </w:r>
          </w:p>
        </w:tc>
        <w:tc>
          <w:tcPr>
            <w:tcW w:w="4213" w:type="dxa"/>
            <w:tcBorders>
              <w:top w:val="single" w:color="auto" w:sz="6" w:space="0"/>
              <w:left w:val="single" w:color="auto" w:sz="6" w:space="0"/>
              <w:bottom w:val="single" w:color="auto" w:sz="4" w:space="0"/>
              <w:right w:val="single" w:color="auto" w:sz="6" w:space="0"/>
            </w:tcBorders>
            <w:vAlign w:val="bottom"/>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日历天</w:t>
            </w:r>
          </w:p>
        </w:tc>
      </w:tr>
      <w:tr>
        <w:tblPrEx>
          <w:tblCellMar>
            <w:top w:w="0" w:type="dxa"/>
            <w:left w:w="108" w:type="dxa"/>
            <w:bottom w:w="0" w:type="dxa"/>
            <w:right w:w="108" w:type="dxa"/>
          </w:tblCellMar>
        </w:tblPrEx>
        <w:trPr>
          <w:trHeight w:val="637" w:hRule="atLeast"/>
          <w:jc w:val="center"/>
        </w:trPr>
        <w:tc>
          <w:tcPr>
            <w:tcW w:w="828" w:type="dxa"/>
            <w:tcBorders>
              <w:top w:val="single" w:color="auto" w:sz="4" w:space="0"/>
              <w:left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3485" w:type="dxa"/>
            <w:gridSpan w:val="3"/>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投报工程质量</w:t>
            </w:r>
          </w:p>
        </w:tc>
        <w:tc>
          <w:tcPr>
            <w:tcW w:w="4213" w:type="dxa"/>
            <w:tcBorders>
              <w:top w:val="single" w:color="auto" w:sz="4" w:space="0"/>
              <w:left w:val="single" w:color="auto" w:sz="6" w:space="0"/>
              <w:bottom w:val="single" w:color="auto" w:sz="4" w:space="0"/>
              <w:right w:val="single" w:color="auto" w:sz="4" w:space="0"/>
            </w:tcBorders>
            <w:vAlign w:val="center"/>
          </w:tcPr>
          <w:p>
            <w:pPr>
              <w:spacing w:line="360" w:lineRule="auto"/>
              <w:ind w:left="-90"/>
              <w:jc w:val="center"/>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637" w:hRule="atLeast"/>
          <w:jc w:val="center"/>
        </w:trPr>
        <w:tc>
          <w:tcPr>
            <w:tcW w:w="828" w:type="dxa"/>
            <w:tcBorders>
              <w:top w:val="single" w:color="auto" w:sz="4" w:space="0"/>
              <w:left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3485" w:type="dxa"/>
            <w:gridSpan w:val="3"/>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w:t>
            </w:r>
          </w:p>
        </w:tc>
        <w:tc>
          <w:tcPr>
            <w:tcW w:w="4213" w:type="dxa"/>
            <w:tcBorders>
              <w:top w:val="single" w:color="auto" w:sz="4" w:space="0"/>
              <w:left w:val="single" w:color="auto" w:sz="6" w:space="0"/>
              <w:bottom w:val="single" w:color="auto" w:sz="4" w:space="0"/>
              <w:right w:val="single" w:color="auto" w:sz="4" w:space="0"/>
            </w:tcBorders>
            <w:vAlign w:val="center"/>
          </w:tcPr>
          <w:p>
            <w:pPr>
              <w:spacing w:line="360" w:lineRule="auto"/>
              <w:ind w:left="-90"/>
              <w:jc w:val="center"/>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557" w:hRule="atLeast"/>
          <w:jc w:val="center"/>
        </w:trPr>
        <w:tc>
          <w:tcPr>
            <w:tcW w:w="828" w:type="dxa"/>
            <w:vMerge w:val="restart"/>
            <w:tcBorders>
              <w:top w:val="single" w:color="auto" w:sz="4" w:space="0"/>
              <w:left w:val="single" w:color="auto" w:sz="4" w:space="0"/>
            </w:tcBorders>
            <w:vAlign w:val="center"/>
          </w:tcPr>
          <w:p>
            <w:pPr>
              <w:spacing w:line="360" w:lineRule="auto"/>
              <w:jc w:val="center"/>
              <w:rPr>
                <w:rFonts w:hint="eastAsia" w:ascii="宋体" w:hAnsi="宋体" w:eastAsia="宋体" w:cs="宋体"/>
                <w:color w:val="auto"/>
                <w:szCs w:val="21"/>
                <w:highlight w:val="none"/>
              </w:rPr>
            </w:pPr>
          </w:p>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278" w:type="dxa"/>
            <w:gridSpan w:val="2"/>
            <w:vMerge w:val="restart"/>
            <w:tcBorders>
              <w:top w:val="single" w:color="auto" w:sz="4" w:space="0"/>
              <w:left w:val="single" w:color="auto" w:sz="6"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项目经理</w:t>
            </w:r>
          </w:p>
        </w:tc>
        <w:tc>
          <w:tcPr>
            <w:tcW w:w="2207" w:type="dxa"/>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    名</w:t>
            </w:r>
          </w:p>
        </w:tc>
        <w:tc>
          <w:tcPr>
            <w:tcW w:w="4213" w:type="dxa"/>
            <w:tcBorders>
              <w:top w:val="single" w:color="auto" w:sz="4" w:space="0"/>
              <w:left w:val="single" w:color="auto" w:sz="6" w:space="0"/>
              <w:bottom w:val="single" w:color="auto" w:sz="4" w:space="0"/>
              <w:right w:val="single" w:color="auto" w:sz="6" w:space="0"/>
            </w:tcBorders>
            <w:vAlign w:val="center"/>
          </w:tcPr>
          <w:p>
            <w:pPr>
              <w:spacing w:line="360" w:lineRule="auto"/>
              <w:ind w:left="-90"/>
              <w:jc w:val="center"/>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557" w:hRule="atLeast"/>
          <w:jc w:val="center"/>
        </w:trPr>
        <w:tc>
          <w:tcPr>
            <w:tcW w:w="828" w:type="dxa"/>
            <w:vMerge w:val="continue"/>
            <w:tcBorders>
              <w:lef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278" w:type="dxa"/>
            <w:gridSpan w:val="2"/>
            <w:vMerge w:val="continue"/>
            <w:tcBorders>
              <w:left w:val="single" w:color="auto" w:sz="6"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2207" w:type="dxa"/>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证书编号</w:t>
            </w:r>
          </w:p>
        </w:tc>
        <w:tc>
          <w:tcPr>
            <w:tcW w:w="4213" w:type="dxa"/>
            <w:tcBorders>
              <w:top w:val="single" w:color="auto" w:sz="4" w:space="0"/>
              <w:left w:val="single" w:color="auto" w:sz="6" w:space="0"/>
              <w:bottom w:val="single" w:color="auto" w:sz="4" w:space="0"/>
              <w:right w:val="single" w:color="auto" w:sz="6" w:space="0"/>
            </w:tcBorders>
            <w:vAlign w:val="center"/>
          </w:tcPr>
          <w:p>
            <w:pPr>
              <w:spacing w:line="360" w:lineRule="auto"/>
              <w:ind w:left="-90"/>
              <w:jc w:val="center"/>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674" w:hRule="atLeast"/>
          <w:jc w:val="center"/>
        </w:trPr>
        <w:tc>
          <w:tcPr>
            <w:tcW w:w="828" w:type="dxa"/>
            <w:tcBorders>
              <w:top w:val="single" w:color="auto" w:sz="4" w:space="0"/>
              <w:left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3485" w:type="dxa"/>
            <w:gridSpan w:val="3"/>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备注（优惠条件）</w:t>
            </w:r>
          </w:p>
        </w:tc>
        <w:tc>
          <w:tcPr>
            <w:tcW w:w="4213" w:type="dxa"/>
            <w:tcBorders>
              <w:top w:val="single" w:color="auto" w:sz="4" w:space="0"/>
              <w:left w:val="single" w:color="auto" w:sz="6" w:space="0"/>
              <w:bottom w:val="single" w:color="auto" w:sz="6" w:space="0"/>
              <w:right w:val="single" w:color="auto" w:sz="6" w:space="0"/>
            </w:tcBorders>
            <w:vAlign w:val="center"/>
          </w:tcPr>
          <w:p>
            <w:pPr>
              <w:spacing w:line="360" w:lineRule="auto"/>
              <w:ind w:left="-90"/>
              <w:jc w:val="center"/>
              <w:rPr>
                <w:rFonts w:hint="eastAsia" w:ascii="宋体" w:hAnsi="宋体" w:eastAsia="宋体" w:cs="宋体"/>
                <w:color w:val="auto"/>
                <w:szCs w:val="21"/>
                <w:highlight w:val="none"/>
              </w:rPr>
            </w:pPr>
          </w:p>
        </w:tc>
      </w:tr>
      <w:bookmarkEnd w:id="931"/>
      <w:bookmarkEnd w:id="932"/>
    </w:tbl>
    <w:p>
      <w:pPr>
        <w:spacing w:line="220" w:lineRule="atLeast"/>
        <w:rPr>
          <w:rFonts w:hint="eastAsia" w:ascii="仿宋_GB2312" w:eastAsia="仿宋_GB2312"/>
          <w:highlight w:val="none"/>
        </w:rPr>
      </w:pPr>
    </w:p>
    <w:p>
      <w:pPr>
        <w:pStyle w:val="22"/>
        <w:rPr>
          <w:color w:val="auto"/>
          <w:highlight w:val="none"/>
        </w:rPr>
      </w:pPr>
    </w:p>
    <w:p>
      <w:pPr>
        <w:spacing w:line="360" w:lineRule="auto"/>
        <w:ind w:right="561"/>
        <w:jc w:val="right"/>
        <w:rPr>
          <w:rFonts w:hint="eastAsia" w:ascii="宋体"/>
          <w:color w:val="auto"/>
          <w:szCs w:val="21"/>
          <w:highlight w:val="none"/>
        </w:rPr>
      </w:pPr>
      <w:r>
        <w:rPr>
          <w:rFonts w:hint="eastAsia" w:ascii="宋体"/>
          <w:color w:val="auto"/>
          <w:szCs w:val="21"/>
          <w:highlight w:val="none"/>
        </w:rPr>
        <w:t>投标人：</w:t>
      </w:r>
      <w:r>
        <w:rPr>
          <w:rFonts w:hint="eastAsia" w:ascii="宋体"/>
          <w:color w:val="auto"/>
          <w:szCs w:val="21"/>
          <w:highlight w:val="none"/>
          <w:u w:val="single"/>
        </w:rPr>
        <w:t xml:space="preserve">                            </w:t>
      </w:r>
      <w:r>
        <w:rPr>
          <w:rFonts w:hint="eastAsia" w:ascii="宋体"/>
          <w:color w:val="auto"/>
          <w:szCs w:val="21"/>
          <w:highlight w:val="none"/>
        </w:rPr>
        <w:t>（</w:t>
      </w:r>
      <w:r>
        <w:rPr>
          <w:rFonts w:hint="eastAsia" w:ascii="新宋体" w:eastAsia="新宋体" w:cs="新宋体"/>
          <w:color w:val="auto"/>
          <w:szCs w:val="21"/>
          <w:highlight w:val="none"/>
          <w:lang w:bidi="ar-SA"/>
        </w:rPr>
        <w:t>电子签章</w:t>
      </w:r>
      <w:r>
        <w:rPr>
          <w:rFonts w:hint="eastAsia" w:ascii="宋体"/>
          <w:color w:val="auto"/>
          <w:szCs w:val="21"/>
          <w:highlight w:val="none"/>
        </w:rPr>
        <w:t>）</w:t>
      </w:r>
    </w:p>
    <w:p>
      <w:pPr>
        <w:spacing w:line="360" w:lineRule="auto"/>
        <w:ind w:right="140"/>
        <w:jc w:val="center"/>
        <w:rPr>
          <w:rFonts w:hint="eastAsia" w:ascii="宋体"/>
          <w:color w:val="auto"/>
          <w:szCs w:val="21"/>
          <w:highlight w:val="none"/>
        </w:rPr>
      </w:pPr>
      <w:r>
        <w:rPr>
          <w:rFonts w:hint="eastAsia" w:ascii="宋体"/>
          <w:color w:val="auto"/>
          <w:szCs w:val="21"/>
          <w:highlight w:val="none"/>
          <w:lang w:val="en-US" w:eastAsia="zh-CN"/>
        </w:rPr>
        <w:t xml:space="preserve">                                    </w:t>
      </w:r>
      <w:r>
        <w:rPr>
          <w:rFonts w:hint="eastAsia" w:ascii="宋体"/>
          <w:color w:val="auto"/>
          <w:szCs w:val="21"/>
          <w:highlight w:val="none"/>
        </w:rPr>
        <w:t>法定代表人：</w:t>
      </w:r>
      <w:r>
        <w:rPr>
          <w:rFonts w:hint="eastAsia" w:ascii="宋体"/>
          <w:color w:val="auto"/>
          <w:szCs w:val="21"/>
          <w:highlight w:val="none"/>
          <w:u w:val="single"/>
        </w:rPr>
        <w:t xml:space="preserve">     </w:t>
      </w:r>
      <w:r>
        <w:rPr>
          <w:rFonts w:hint="eastAsia" w:ascii="宋体"/>
          <w:color w:val="auto"/>
          <w:szCs w:val="21"/>
          <w:highlight w:val="none"/>
          <w:u w:val="single"/>
          <w:lang w:val="en-US" w:eastAsia="zh-CN"/>
        </w:rPr>
        <w:t xml:space="preserve">            </w:t>
      </w:r>
      <w:r>
        <w:rPr>
          <w:rFonts w:hint="eastAsia" w:ascii="宋体"/>
          <w:color w:val="auto"/>
          <w:szCs w:val="21"/>
          <w:highlight w:val="none"/>
          <w:u w:val="single"/>
        </w:rPr>
        <w:t xml:space="preserve">       </w:t>
      </w:r>
      <w:r>
        <w:rPr>
          <w:rFonts w:hint="eastAsia" w:ascii="宋体"/>
          <w:color w:val="auto"/>
          <w:szCs w:val="21"/>
          <w:highlight w:val="none"/>
        </w:rPr>
        <w:t>（</w:t>
      </w:r>
      <w:r>
        <w:rPr>
          <w:rFonts w:hint="eastAsia" w:ascii="新宋体" w:eastAsia="新宋体" w:cs="新宋体"/>
          <w:color w:val="auto"/>
          <w:szCs w:val="21"/>
          <w:highlight w:val="none"/>
          <w:lang w:bidi="ar-SA"/>
        </w:rPr>
        <w:t>电子签章</w:t>
      </w:r>
      <w:r>
        <w:rPr>
          <w:rFonts w:hint="eastAsia" w:ascii="宋体"/>
          <w:color w:val="auto"/>
          <w:szCs w:val="21"/>
          <w:highlight w:val="none"/>
        </w:rPr>
        <w:t>）</w:t>
      </w:r>
    </w:p>
    <w:p>
      <w:pPr>
        <w:spacing w:line="360" w:lineRule="auto"/>
        <w:ind w:right="560" w:firstLine="5460" w:firstLineChars="2600"/>
        <w:rPr>
          <w:rFonts w:hint="eastAsia" w:ascii="宋体"/>
          <w:b/>
          <w:color w:val="auto"/>
          <w:sz w:val="24"/>
          <w:highlight w:val="none"/>
        </w:rPr>
      </w:pPr>
      <w:r>
        <w:rPr>
          <w:rFonts w:hint="eastAsia" w:ascii="宋体"/>
          <w:color w:val="auto"/>
          <w:szCs w:val="21"/>
          <w:highlight w:val="none"/>
          <w:u w:val="single"/>
        </w:rPr>
        <w:tab/>
      </w:r>
      <w:r>
        <w:rPr>
          <w:rFonts w:hint="eastAsia" w:ascii="宋体"/>
          <w:color w:val="auto"/>
          <w:szCs w:val="21"/>
          <w:highlight w:val="none"/>
          <w:u w:val="single"/>
        </w:rPr>
        <w:t xml:space="preserve">      </w:t>
      </w:r>
      <w:r>
        <w:rPr>
          <w:rFonts w:hint="eastAsia" w:ascii="宋体"/>
          <w:color w:val="auto"/>
          <w:szCs w:val="21"/>
          <w:highlight w:val="none"/>
        </w:rPr>
        <w:t>年</w:t>
      </w:r>
      <w:r>
        <w:rPr>
          <w:rFonts w:hint="eastAsia" w:ascii="宋体"/>
          <w:color w:val="auto"/>
          <w:szCs w:val="21"/>
          <w:highlight w:val="none"/>
          <w:u w:val="single"/>
        </w:rPr>
        <w:t xml:space="preserve">      </w:t>
      </w:r>
      <w:r>
        <w:rPr>
          <w:rFonts w:hint="eastAsia" w:ascii="宋体"/>
          <w:color w:val="auto"/>
          <w:szCs w:val="21"/>
          <w:highlight w:val="none"/>
        </w:rPr>
        <w:t>月</w:t>
      </w:r>
      <w:r>
        <w:rPr>
          <w:rFonts w:hint="eastAsia" w:ascii="宋体"/>
          <w:color w:val="auto"/>
          <w:szCs w:val="21"/>
          <w:highlight w:val="none"/>
          <w:u w:val="single"/>
        </w:rPr>
        <w:t xml:space="preserve">      </w:t>
      </w:r>
      <w:r>
        <w:rPr>
          <w:rFonts w:hint="eastAsia" w:ascii="宋体"/>
          <w:color w:val="auto"/>
          <w:szCs w:val="21"/>
          <w:highlight w:val="none"/>
        </w:rPr>
        <w:t>日</w:t>
      </w:r>
    </w:p>
    <w:p>
      <w:pPr>
        <w:pStyle w:val="9"/>
        <w:keepNext/>
        <w:keepLines/>
        <w:widowControl/>
        <w:jc w:val="center"/>
        <w:rPr>
          <w:rFonts w:hint="eastAsia" w:ascii="新宋体" w:eastAsia="新宋体" w:cs="新宋体"/>
          <w:color w:val="auto"/>
          <w:sz w:val="24"/>
          <w:szCs w:val="24"/>
          <w:highlight w:val="none"/>
          <w:lang w:bidi="ar-SA"/>
        </w:rPr>
      </w:pPr>
      <w:r>
        <w:rPr>
          <w:rFonts w:hint="eastAsia" w:ascii="新宋体" w:eastAsia="新宋体" w:cs="新宋体"/>
          <w:color w:val="auto"/>
          <w:sz w:val="24"/>
          <w:szCs w:val="24"/>
          <w:highlight w:val="none"/>
          <w:lang w:bidi="ar-SA"/>
        </w:rPr>
        <w:t>二、法定代表人身份证明</w:t>
      </w:r>
      <w:bookmarkEnd w:id="918"/>
      <w:bookmarkEnd w:id="919"/>
      <w:bookmarkEnd w:id="920"/>
      <w:bookmarkEnd w:id="921"/>
      <w:bookmarkEnd w:id="922"/>
      <w:bookmarkEnd w:id="923"/>
      <w:bookmarkEnd w:id="924"/>
      <w:bookmarkStart w:id="933" w:name="_Toc505675478"/>
    </w:p>
    <w:bookmarkEnd w:id="933"/>
    <w:p>
      <w:pPr>
        <w:spacing w:line="440" w:lineRule="exact"/>
        <w:rPr>
          <w:rFonts w:hint="eastAsia" w:ascii="新宋体" w:eastAsia="新宋体" w:cs="新宋体"/>
          <w:color w:val="auto"/>
          <w:sz w:val="24"/>
          <w:highlight w:val="none"/>
          <w:lang w:bidi="ar-SA"/>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cs="宋体"/>
          <w:color w:val="auto"/>
          <w:szCs w:val="21"/>
          <w:highlight w:val="none"/>
          <w:lang w:bidi="ar-SA"/>
        </w:rPr>
      </w:pPr>
      <w:r>
        <w:rPr>
          <w:rFonts w:hint="eastAsia" w:ascii="宋体" w:cs="宋体"/>
          <w:color w:val="auto"/>
          <w:szCs w:val="21"/>
          <w:highlight w:val="none"/>
          <w:lang w:bidi="ar-SA"/>
        </w:rPr>
        <w:t>投标人名称：</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cs="宋体"/>
          <w:color w:val="auto"/>
          <w:szCs w:val="21"/>
          <w:highlight w:val="none"/>
          <w:lang w:bidi="ar-SA"/>
        </w:rPr>
      </w:pPr>
      <w:r>
        <w:rPr>
          <w:rFonts w:hint="eastAsia" w:ascii="宋体" w:cs="宋体"/>
          <w:color w:val="auto"/>
          <w:szCs w:val="21"/>
          <w:highlight w:val="none"/>
          <w:lang w:bidi="ar-SA"/>
        </w:rPr>
        <w:t>单位性质：</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cs="宋体"/>
          <w:color w:val="auto"/>
          <w:szCs w:val="21"/>
          <w:highlight w:val="none"/>
          <w:lang w:bidi="ar-SA"/>
        </w:rPr>
      </w:pPr>
      <w:r>
        <w:rPr>
          <w:rFonts w:hint="eastAsia" w:ascii="宋体" w:cs="宋体"/>
          <w:color w:val="auto"/>
          <w:szCs w:val="21"/>
          <w:highlight w:val="none"/>
          <w:lang w:bidi="ar-SA"/>
        </w:rPr>
        <w:t>单位地址：</w:t>
      </w:r>
      <w:r>
        <w:rPr>
          <w:rFonts w:hint="eastAsia" w:ascii="宋体" w:cs="宋体"/>
          <w:color w:val="auto"/>
          <w:szCs w:val="21"/>
          <w:highlight w:val="none"/>
          <w:u w:val="single"/>
          <w:lang w:bidi="ar-SA"/>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cs="宋体"/>
          <w:color w:val="auto"/>
          <w:szCs w:val="21"/>
          <w:highlight w:val="none"/>
          <w:lang w:bidi="ar-SA"/>
        </w:rPr>
      </w:pPr>
      <w:r>
        <w:rPr>
          <w:rFonts w:hint="eastAsia" w:ascii="宋体" w:cs="宋体"/>
          <w:color w:val="auto"/>
          <w:szCs w:val="21"/>
          <w:highlight w:val="none"/>
          <w:lang w:bidi="ar-SA"/>
        </w:rPr>
        <w:t>成立时间：</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年</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月</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cs="宋体"/>
          <w:color w:val="auto"/>
          <w:szCs w:val="21"/>
          <w:highlight w:val="none"/>
          <w:lang w:bidi="ar-SA"/>
        </w:rPr>
      </w:pPr>
      <w:r>
        <w:rPr>
          <w:rFonts w:hint="eastAsia" w:ascii="宋体" w:cs="宋体"/>
          <w:color w:val="auto"/>
          <w:szCs w:val="21"/>
          <w:highlight w:val="none"/>
          <w:lang w:bidi="ar-SA"/>
        </w:rPr>
        <w:t>经营期限：</w:t>
      </w:r>
      <w:r>
        <w:rPr>
          <w:rFonts w:hint="eastAsia" w:ascii="宋体" w:cs="宋体"/>
          <w:color w:val="auto"/>
          <w:szCs w:val="21"/>
          <w:highlight w:val="none"/>
          <w:u w:val="single"/>
          <w:lang w:bidi="ar-SA"/>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cs="宋体"/>
          <w:color w:val="auto"/>
          <w:szCs w:val="21"/>
          <w:highlight w:val="none"/>
          <w:lang w:bidi="ar-SA"/>
        </w:rPr>
      </w:pPr>
      <w:r>
        <w:rPr>
          <w:rFonts w:hint="eastAsia" w:ascii="宋体" w:cs="宋体"/>
          <w:color w:val="auto"/>
          <w:szCs w:val="21"/>
          <w:highlight w:val="none"/>
          <w:lang w:bidi="ar-SA"/>
        </w:rPr>
        <w:t>姓名：</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 xml:space="preserve"> 性别：</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 xml:space="preserve"> 年龄：</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职务：</w:t>
      </w:r>
      <w:r>
        <w:rPr>
          <w:rFonts w:hint="eastAsia" w:ascii="宋体" w:cs="宋体"/>
          <w:color w:val="auto"/>
          <w:szCs w:val="21"/>
          <w:highlight w:val="none"/>
          <w:u w:val="single"/>
          <w:lang w:bidi="ar-SA"/>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cs="宋体"/>
          <w:color w:val="auto"/>
          <w:szCs w:val="21"/>
          <w:highlight w:val="none"/>
          <w:lang w:bidi="ar-SA"/>
        </w:rPr>
      </w:pPr>
      <w:r>
        <w:rPr>
          <w:rFonts w:hint="eastAsia" w:ascii="宋体" w:cs="宋体"/>
          <w:color w:val="auto"/>
          <w:szCs w:val="21"/>
          <w:highlight w:val="none"/>
          <w:lang w:bidi="ar-SA"/>
        </w:rPr>
        <w:t>系</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 xml:space="preserve"> （投标人名称）的法定代表人。</w:t>
      </w:r>
    </w:p>
    <w:p>
      <w:pPr>
        <w:spacing w:line="440" w:lineRule="exact"/>
        <w:ind w:firstLine="420" w:firstLineChars="200"/>
        <w:rPr>
          <w:rFonts w:hint="eastAsia" w:ascii="宋体" w:cs="宋体"/>
          <w:color w:val="auto"/>
          <w:szCs w:val="21"/>
          <w:highlight w:val="none"/>
          <w:lang w:bidi="ar-SA"/>
        </w:rPr>
      </w:pPr>
      <w:r>
        <w:rPr>
          <w:rFonts w:hint="eastAsia" w:ascii="宋体" w:cs="宋体"/>
          <w:color w:val="auto"/>
          <w:szCs w:val="21"/>
          <w:highlight w:val="none"/>
          <w:lang w:bidi="ar-SA"/>
        </w:rPr>
        <w:t>特此证明。</w:t>
      </w:r>
    </w:p>
    <w:p>
      <w:pPr>
        <w:spacing w:line="440" w:lineRule="exact"/>
        <w:rPr>
          <w:rFonts w:hint="eastAsia" w:ascii="宋体" w:cs="宋体"/>
          <w:color w:val="auto"/>
          <w:szCs w:val="21"/>
          <w:highlight w:val="none"/>
          <w:lang w:bidi="ar-SA"/>
        </w:rPr>
      </w:pPr>
    </w:p>
    <w:p>
      <w:pPr>
        <w:spacing w:line="440" w:lineRule="exact"/>
        <w:rPr>
          <w:rFonts w:hint="eastAsia" w:ascii="宋体" w:cs="宋体"/>
          <w:color w:val="auto"/>
          <w:szCs w:val="21"/>
          <w:highlight w:val="none"/>
          <w:lang w:bidi="ar-SA"/>
        </w:rPr>
      </w:pPr>
    </w:p>
    <w:p>
      <w:pPr>
        <w:spacing w:line="440" w:lineRule="exact"/>
        <w:jc w:val="right"/>
        <w:rPr>
          <w:rFonts w:hint="eastAsia" w:ascii="宋体" w:cs="宋体"/>
          <w:color w:val="auto"/>
          <w:szCs w:val="21"/>
          <w:highlight w:val="none"/>
          <w:lang w:bidi="ar-SA"/>
        </w:rPr>
      </w:pPr>
      <w:r>
        <w:rPr>
          <w:rFonts w:hint="eastAsia" w:ascii="宋体" w:cs="宋体"/>
          <w:color w:val="auto"/>
          <w:szCs w:val="21"/>
          <w:highlight w:val="none"/>
          <w:lang w:bidi="ar-SA"/>
        </w:rPr>
        <w:t xml:space="preserve">                          投标人：</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w:t>
      </w:r>
      <w:r>
        <w:rPr>
          <w:rFonts w:hint="eastAsia" w:ascii="新宋体" w:eastAsia="新宋体" w:cs="新宋体"/>
          <w:color w:val="auto"/>
          <w:szCs w:val="21"/>
          <w:highlight w:val="none"/>
          <w:lang w:bidi="ar-SA"/>
        </w:rPr>
        <w:t>电子签章</w:t>
      </w:r>
      <w:r>
        <w:rPr>
          <w:rFonts w:hint="eastAsia" w:ascii="宋体" w:cs="宋体"/>
          <w:color w:val="auto"/>
          <w:szCs w:val="21"/>
          <w:highlight w:val="none"/>
          <w:lang w:bidi="ar-SA"/>
        </w:rPr>
        <w:t>）</w:t>
      </w:r>
    </w:p>
    <w:p>
      <w:pPr>
        <w:spacing w:line="440" w:lineRule="exact"/>
        <w:jc w:val="right"/>
        <w:rPr>
          <w:rFonts w:hint="eastAsia" w:ascii="新宋体" w:eastAsia="新宋体" w:cs="新宋体"/>
          <w:color w:val="auto"/>
          <w:sz w:val="24"/>
          <w:highlight w:val="none"/>
          <w:lang w:bidi="ar-SA"/>
        </w:rPr>
      </w:pPr>
      <w:r>
        <w:rPr>
          <w:rFonts w:hint="eastAsia" w:ascii="宋体" w:cs="宋体"/>
          <w:color w:val="auto"/>
          <w:szCs w:val="21"/>
          <w:highlight w:val="none"/>
          <w:lang w:bidi="ar-SA"/>
        </w:rPr>
        <w:t xml:space="preserve">                                </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年</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月</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 xml:space="preserve"> 日   </w:t>
      </w:r>
      <w:r>
        <w:rPr>
          <w:rFonts w:hint="eastAsia" w:ascii="新宋体" w:eastAsia="新宋体" w:cs="新宋体"/>
          <w:color w:val="auto"/>
          <w:sz w:val="24"/>
          <w:highlight w:val="none"/>
          <w:lang w:bidi="ar-SA"/>
        </w:rPr>
        <w:t xml:space="preserve">        </w:t>
      </w: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pStyle w:val="9"/>
        <w:keepNext/>
        <w:keepLines/>
        <w:widowControl/>
        <w:jc w:val="center"/>
        <w:rPr>
          <w:rFonts w:hint="eastAsia" w:ascii="新宋体" w:eastAsia="新宋体" w:cs="新宋体"/>
          <w:color w:val="auto"/>
          <w:sz w:val="24"/>
          <w:szCs w:val="24"/>
          <w:highlight w:val="none"/>
          <w:lang w:bidi="ar-SA"/>
        </w:rPr>
      </w:pPr>
      <w:bookmarkStart w:id="934" w:name="_Toc505675479"/>
      <w:bookmarkStart w:id="935" w:name="_Toc29253_WPSOffice_Level1"/>
      <w:bookmarkStart w:id="936" w:name="_Toc247514284"/>
      <w:bookmarkStart w:id="937" w:name="_Toc144974861"/>
      <w:bookmarkStart w:id="938" w:name="_Toc247527832"/>
      <w:bookmarkStart w:id="939" w:name="_Toc152042581"/>
      <w:bookmarkStart w:id="940" w:name="_Toc152045792"/>
      <w:r>
        <w:rPr>
          <w:rFonts w:hint="eastAsia" w:ascii="新宋体" w:eastAsia="新宋体" w:cs="新宋体"/>
          <w:color w:val="auto"/>
          <w:sz w:val="24"/>
          <w:szCs w:val="24"/>
          <w:highlight w:val="none"/>
          <w:lang w:bidi="ar-SA"/>
        </w:rPr>
        <w:t>三、授权委托书</w:t>
      </w:r>
      <w:bookmarkEnd w:id="934"/>
      <w:bookmarkEnd w:id="935"/>
      <w:bookmarkEnd w:id="936"/>
      <w:bookmarkEnd w:id="937"/>
      <w:bookmarkEnd w:id="938"/>
      <w:bookmarkEnd w:id="939"/>
      <w:bookmarkEnd w:id="940"/>
      <w:r>
        <w:rPr>
          <w:rFonts w:hint="eastAsia" w:ascii="新宋体" w:eastAsia="新宋体" w:cs="新宋体"/>
          <w:color w:val="auto"/>
          <w:sz w:val="24"/>
          <w:szCs w:val="24"/>
          <w:highlight w:val="none"/>
          <w:lang w:bidi="ar-SA"/>
        </w:rPr>
        <w:t xml:space="preserve"> </w:t>
      </w:r>
    </w:p>
    <w:p>
      <w:pPr>
        <w:spacing w:line="440" w:lineRule="exact"/>
        <w:rPr>
          <w:rFonts w:hint="eastAsia" w:ascii="新宋体" w:eastAsia="新宋体" w:cs="新宋体"/>
          <w:color w:val="auto"/>
          <w:sz w:val="24"/>
          <w:highlight w:val="none"/>
          <w:lang w:bidi="ar-SA"/>
        </w:rPr>
      </w:pPr>
    </w:p>
    <w:p>
      <w:pPr>
        <w:topLinePunct/>
        <w:spacing w:line="440" w:lineRule="exact"/>
        <w:ind w:firstLine="420" w:firstLineChars="200"/>
        <w:rPr>
          <w:rFonts w:hint="eastAsia" w:ascii="宋体" w:cs="宋体"/>
          <w:color w:val="auto"/>
          <w:szCs w:val="21"/>
          <w:highlight w:val="none"/>
          <w:lang w:bidi="ar-SA"/>
        </w:rPr>
      </w:pPr>
      <w:r>
        <w:rPr>
          <w:rFonts w:hint="eastAsia" w:ascii="宋体" w:cs="宋体"/>
          <w:color w:val="auto"/>
          <w:szCs w:val="21"/>
          <w:highlight w:val="none"/>
          <w:lang w:bidi="ar-SA"/>
        </w:rPr>
        <w:t>本人</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（姓名）系</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（投标人名称）的法定代表人，现委托</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（姓名）为我方代理人。代理人根据授权，以我方名义签署、澄清、说明、补正、递交、撤回、修改</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（项目名称）</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（标段）投标文件、签订合同和处理有关事宜，其法律后果由我方承担。</w:t>
      </w:r>
    </w:p>
    <w:p>
      <w:pPr>
        <w:spacing w:line="440" w:lineRule="exact"/>
        <w:rPr>
          <w:rFonts w:hint="eastAsia" w:ascii="宋体" w:cs="宋体"/>
          <w:color w:val="auto"/>
          <w:szCs w:val="21"/>
          <w:highlight w:val="none"/>
          <w:lang w:bidi="ar-SA"/>
        </w:rPr>
      </w:pPr>
      <w:r>
        <w:rPr>
          <w:rFonts w:hint="eastAsia" w:ascii="宋体" w:cs="宋体"/>
          <w:color w:val="auto"/>
          <w:szCs w:val="21"/>
          <w:highlight w:val="none"/>
          <w:lang w:bidi="ar-SA"/>
        </w:rPr>
        <w:t xml:space="preserve">    委托期限：</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。代理人无转委托权。</w:t>
      </w:r>
    </w:p>
    <w:p>
      <w:pPr>
        <w:spacing w:line="440" w:lineRule="exact"/>
        <w:ind w:firstLine="420" w:firstLineChars="200"/>
        <w:rPr>
          <w:rFonts w:hint="eastAsia" w:ascii="宋体" w:cs="宋体"/>
          <w:color w:val="auto"/>
          <w:szCs w:val="21"/>
          <w:highlight w:val="none"/>
          <w:lang w:bidi="ar-SA"/>
        </w:rPr>
      </w:pPr>
      <w:r>
        <w:rPr>
          <w:rFonts w:hint="eastAsia" w:ascii="宋体" w:cs="宋体"/>
          <w:color w:val="auto"/>
          <w:szCs w:val="21"/>
          <w:highlight w:val="none"/>
          <w:lang w:bidi="ar-SA"/>
        </w:rPr>
        <w:t>附：法定代表人及委托代理人身份证原件扫描件（或图片）</w:t>
      </w:r>
    </w:p>
    <w:p>
      <w:pPr>
        <w:spacing w:line="440" w:lineRule="exact"/>
        <w:rPr>
          <w:rFonts w:hint="eastAsia" w:ascii="宋体" w:cs="宋体"/>
          <w:color w:val="auto"/>
          <w:szCs w:val="21"/>
          <w:highlight w:val="none"/>
          <w:lang w:bidi="ar-SA"/>
        </w:rPr>
      </w:pPr>
    </w:p>
    <w:p>
      <w:pPr>
        <w:spacing w:line="440" w:lineRule="exact"/>
        <w:rPr>
          <w:rFonts w:hint="eastAsia" w:ascii="宋体" w:cs="宋体"/>
          <w:color w:val="auto"/>
          <w:szCs w:val="21"/>
          <w:highlight w:val="none"/>
          <w:lang w:bidi="ar-SA"/>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cs="宋体"/>
          <w:color w:val="auto"/>
          <w:szCs w:val="21"/>
          <w:highlight w:val="none"/>
          <w:lang w:bidi="ar-SA"/>
        </w:rPr>
      </w:pPr>
      <w:r>
        <w:rPr>
          <w:rFonts w:hint="eastAsia" w:ascii="宋体" w:cs="宋体"/>
          <w:color w:val="auto"/>
          <w:szCs w:val="21"/>
          <w:highlight w:val="none"/>
          <w:lang w:bidi="ar-SA"/>
        </w:rPr>
        <w:t>投标人：</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w:t>
      </w:r>
      <w:r>
        <w:rPr>
          <w:rFonts w:hint="eastAsia" w:ascii="新宋体" w:eastAsia="新宋体" w:cs="新宋体"/>
          <w:color w:val="auto"/>
          <w:szCs w:val="21"/>
          <w:highlight w:val="none"/>
          <w:lang w:bidi="ar-SA"/>
        </w:rPr>
        <w:t>电子签章</w:t>
      </w:r>
      <w:r>
        <w:rPr>
          <w:rFonts w:hint="eastAsia" w:ascii="宋体" w:cs="宋体"/>
          <w:color w:val="auto"/>
          <w:szCs w:val="21"/>
          <w:highlight w:val="none"/>
          <w:lang w:bidi="ar-SA"/>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cs="宋体"/>
          <w:color w:val="auto"/>
          <w:szCs w:val="21"/>
          <w:highlight w:val="none"/>
          <w:lang w:bidi="ar-SA"/>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cs="宋体"/>
          <w:color w:val="auto"/>
          <w:szCs w:val="21"/>
          <w:highlight w:val="none"/>
          <w:lang w:bidi="ar-SA"/>
        </w:rPr>
      </w:pPr>
      <w:r>
        <w:rPr>
          <w:rFonts w:hint="eastAsia" w:ascii="宋体" w:cs="宋体"/>
          <w:color w:val="auto"/>
          <w:szCs w:val="21"/>
          <w:highlight w:val="none"/>
          <w:lang w:bidi="ar-SA"/>
        </w:rPr>
        <w:t>法定代表人：</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w:t>
      </w:r>
      <w:r>
        <w:rPr>
          <w:rFonts w:hint="eastAsia" w:ascii="新宋体" w:eastAsia="新宋体" w:cs="新宋体"/>
          <w:color w:val="auto"/>
          <w:szCs w:val="21"/>
          <w:highlight w:val="none"/>
          <w:lang w:bidi="ar-SA"/>
        </w:rPr>
        <w:t>电子签章</w:t>
      </w:r>
      <w:r>
        <w:rPr>
          <w:rFonts w:hint="eastAsia" w:ascii="宋体" w:cs="宋体"/>
          <w:color w:val="auto"/>
          <w:szCs w:val="21"/>
          <w:highlight w:val="none"/>
          <w:lang w:bidi="ar-SA"/>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cs="宋体"/>
          <w:color w:val="auto"/>
          <w:szCs w:val="21"/>
          <w:highlight w:val="none"/>
          <w:lang w:bidi="ar-SA"/>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cs="宋体"/>
          <w:color w:val="auto"/>
          <w:szCs w:val="21"/>
          <w:highlight w:val="none"/>
          <w:lang w:bidi="ar-SA"/>
        </w:rPr>
      </w:pPr>
      <w:r>
        <w:rPr>
          <w:rFonts w:hint="eastAsia" w:ascii="宋体" w:cs="宋体"/>
          <w:color w:val="auto"/>
          <w:szCs w:val="21"/>
          <w:highlight w:val="none"/>
          <w:lang w:bidi="ar-SA"/>
        </w:rPr>
        <w:t>身份证号码：</w:t>
      </w:r>
      <w:r>
        <w:rPr>
          <w:rFonts w:hint="eastAsia" w:ascii="宋体" w:cs="宋体"/>
          <w:color w:val="auto"/>
          <w:szCs w:val="21"/>
          <w:highlight w:val="none"/>
          <w:u w:val="single"/>
          <w:lang w:bidi="ar-SA"/>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cs="宋体"/>
          <w:color w:val="auto"/>
          <w:szCs w:val="21"/>
          <w:highlight w:val="none"/>
          <w:lang w:bidi="ar-SA"/>
        </w:rPr>
      </w:pPr>
    </w:p>
    <w:p>
      <w:pPr>
        <w:pStyle w:val="5"/>
        <w:rPr>
          <w:color w:val="auto"/>
          <w:highlight w:val="none"/>
        </w:rPr>
      </w:pPr>
    </w:p>
    <w:p>
      <w:pPr>
        <w:spacing w:line="440" w:lineRule="exact"/>
        <w:ind w:firstLine="1575" w:firstLineChars="750"/>
        <w:rPr>
          <w:rFonts w:hint="eastAsia" w:ascii="宋体" w:cs="宋体"/>
          <w:color w:val="auto"/>
          <w:szCs w:val="21"/>
          <w:highlight w:val="none"/>
          <w:lang w:bidi="ar-SA"/>
        </w:rPr>
      </w:pP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年</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月</w:t>
      </w:r>
      <w:r>
        <w:rPr>
          <w:rFonts w:hint="eastAsia" w:ascii="宋体" w:cs="宋体"/>
          <w:color w:val="auto"/>
          <w:szCs w:val="21"/>
          <w:highlight w:val="none"/>
          <w:u w:val="single"/>
          <w:lang w:bidi="ar-SA"/>
        </w:rPr>
        <w:t xml:space="preserve">       </w:t>
      </w:r>
      <w:r>
        <w:rPr>
          <w:rFonts w:hint="eastAsia" w:ascii="宋体" w:cs="宋体"/>
          <w:color w:val="auto"/>
          <w:szCs w:val="21"/>
          <w:highlight w:val="none"/>
          <w:lang w:bidi="ar-SA"/>
        </w:rPr>
        <w:t>日</w:t>
      </w: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spacing w:line="400" w:lineRule="exact"/>
        <w:rPr>
          <w:rFonts w:hint="eastAsia" w:ascii="新宋体" w:eastAsia="新宋体" w:cs="新宋体"/>
          <w:color w:val="auto"/>
          <w:sz w:val="24"/>
          <w:highlight w:val="none"/>
          <w:lang w:bidi="ar-SA"/>
        </w:rPr>
      </w:pPr>
      <w:r>
        <w:rPr>
          <w:rFonts w:hint="eastAsia" w:ascii="新宋体" w:eastAsia="新宋体" w:cs="新宋体"/>
          <w:color w:val="auto"/>
          <w:sz w:val="24"/>
          <w:highlight w:val="none"/>
          <w:lang w:bidi="ar-SA"/>
        </w:rPr>
        <w:br w:type="page"/>
      </w:r>
    </w:p>
    <w:p>
      <w:pPr>
        <w:pStyle w:val="9"/>
        <w:keepNext/>
        <w:keepLines/>
        <w:widowControl/>
        <w:ind w:left="178" w:leftChars="85"/>
        <w:jc w:val="center"/>
        <w:rPr>
          <w:rFonts w:hint="eastAsia" w:ascii="新宋体" w:eastAsia="新宋体" w:cs="新宋体"/>
          <w:color w:val="auto"/>
          <w:sz w:val="24"/>
          <w:szCs w:val="24"/>
          <w:highlight w:val="none"/>
          <w:lang w:bidi="ar-SA"/>
        </w:rPr>
      </w:pPr>
      <w:bookmarkStart w:id="941" w:name="_Toc247514285"/>
      <w:bookmarkStart w:id="942" w:name="_Toc152042582"/>
      <w:bookmarkStart w:id="943" w:name="_Toc247527833"/>
      <w:bookmarkStart w:id="944" w:name="_Toc505675480"/>
      <w:bookmarkStart w:id="945" w:name="_Toc152045793"/>
      <w:bookmarkStart w:id="946" w:name="_Toc2553_WPSOffice_Level1"/>
      <w:r>
        <w:rPr>
          <w:rFonts w:hint="eastAsia" w:ascii="新宋体" w:eastAsia="新宋体" w:cs="新宋体"/>
          <w:color w:val="auto"/>
          <w:sz w:val="24"/>
          <w:szCs w:val="24"/>
          <w:highlight w:val="none"/>
          <w:lang w:bidi="ar-SA"/>
        </w:rPr>
        <w:t>四、</w:t>
      </w:r>
      <w:bookmarkEnd w:id="941"/>
      <w:bookmarkEnd w:id="942"/>
      <w:bookmarkEnd w:id="943"/>
      <w:bookmarkEnd w:id="944"/>
      <w:bookmarkEnd w:id="945"/>
      <w:r>
        <w:rPr>
          <w:rFonts w:hint="eastAsia" w:ascii="新宋体" w:eastAsia="新宋体" w:cs="新宋体"/>
          <w:color w:val="auto"/>
          <w:sz w:val="24"/>
          <w:szCs w:val="24"/>
          <w:highlight w:val="none"/>
          <w:lang w:bidi="ar-SA"/>
        </w:rPr>
        <w:t>投标保证金</w:t>
      </w:r>
      <w:bookmarkEnd w:id="946"/>
    </w:p>
    <w:p>
      <w:pPr>
        <w:ind w:left="178" w:leftChars="85"/>
        <w:jc w:val="center"/>
        <w:rPr>
          <w:rFonts w:hint="eastAsia" w:ascii="宋体" w:cs="宋体"/>
          <w:b/>
          <w:color w:val="auto"/>
          <w:szCs w:val="21"/>
          <w:highlight w:val="none"/>
          <w:lang w:bidi="ar-SA"/>
        </w:rPr>
      </w:pPr>
      <w:r>
        <w:rPr>
          <w:rFonts w:hint="eastAsia" w:ascii="宋体" w:cs="宋体"/>
          <w:color w:val="auto"/>
          <w:szCs w:val="21"/>
          <w:highlight w:val="none"/>
          <w:lang w:bidi="ar-SA"/>
        </w:rPr>
        <w:t>（附投标保证金转账凭证原件扫描件（或图片））</w:t>
      </w:r>
    </w:p>
    <w:p>
      <w:pPr>
        <w:spacing w:line="440" w:lineRule="exact"/>
        <w:ind w:firstLine="4387" w:firstLineChars="1828"/>
        <w:rPr>
          <w:rFonts w:hint="eastAsia" w:ascii="新宋体" w:eastAsia="新宋体" w:cs="新宋体"/>
          <w:color w:val="auto"/>
          <w:sz w:val="24"/>
          <w:highlight w:val="none"/>
          <w:lang w:bidi="ar-SA"/>
        </w:rPr>
      </w:pPr>
    </w:p>
    <w:p>
      <w:pPr>
        <w:ind w:firstLine="2400" w:firstLineChars="1000"/>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rPr>
          <w:rFonts w:hint="eastAsia" w:ascii="新宋体" w:eastAsia="新宋体" w:cs="新宋体"/>
          <w:color w:val="auto"/>
          <w:sz w:val="24"/>
          <w:highlight w:val="none"/>
          <w:lang w:bidi="ar-SA"/>
        </w:rPr>
      </w:pPr>
    </w:p>
    <w:p>
      <w:pPr>
        <w:pStyle w:val="5"/>
        <w:rPr>
          <w:rFonts w:hint="eastAsia" w:ascii="新宋体" w:eastAsia="新宋体" w:cs="新宋体"/>
          <w:color w:val="auto"/>
          <w:sz w:val="24"/>
          <w:highlight w:val="none"/>
          <w:lang w:bidi="ar-SA"/>
        </w:rPr>
      </w:pPr>
    </w:p>
    <w:p>
      <w:pPr>
        <w:pStyle w:val="5"/>
        <w:rPr>
          <w:rFonts w:hint="eastAsia" w:ascii="新宋体" w:eastAsia="新宋体" w:cs="新宋体"/>
          <w:color w:val="auto"/>
          <w:sz w:val="24"/>
          <w:highlight w:val="none"/>
          <w:lang w:bidi="ar-SA"/>
        </w:rPr>
      </w:pPr>
    </w:p>
    <w:p>
      <w:pPr>
        <w:pStyle w:val="5"/>
        <w:rPr>
          <w:rFonts w:hint="eastAsia" w:ascii="新宋体" w:eastAsia="新宋体" w:cs="新宋体"/>
          <w:color w:val="auto"/>
          <w:sz w:val="24"/>
          <w:highlight w:val="none"/>
          <w:lang w:bidi="ar-SA"/>
        </w:rPr>
      </w:pPr>
    </w:p>
    <w:p>
      <w:pPr>
        <w:pStyle w:val="5"/>
        <w:rPr>
          <w:rFonts w:hint="eastAsia" w:ascii="新宋体" w:eastAsia="新宋体" w:cs="新宋体"/>
          <w:color w:val="auto"/>
          <w:sz w:val="24"/>
          <w:highlight w:val="none"/>
          <w:lang w:bidi="ar-SA"/>
        </w:rPr>
      </w:pPr>
    </w:p>
    <w:p>
      <w:pPr>
        <w:pStyle w:val="9"/>
        <w:keepNext/>
        <w:keepLines/>
        <w:widowControl/>
        <w:ind w:left="178" w:leftChars="85"/>
        <w:jc w:val="center"/>
        <w:rPr>
          <w:rFonts w:hint="eastAsia" w:ascii="新宋体" w:eastAsia="新宋体" w:cs="新宋体"/>
          <w:color w:val="auto"/>
          <w:sz w:val="24"/>
          <w:szCs w:val="24"/>
          <w:highlight w:val="none"/>
          <w:lang w:bidi="ar-SA"/>
        </w:rPr>
      </w:pPr>
      <w:bookmarkStart w:id="947" w:name="_Toc505675482"/>
      <w:r>
        <w:rPr>
          <w:rFonts w:hint="eastAsia" w:ascii="新宋体" w:eastAsia="新宋体" w:cs="新宋体"/>
          <w:color w:val="auto"/>
          <w:sz w:val="24"/>
          <w:szCs w:val="24"/>
          <w:highlight w:val="none"/>
          <w:lang w:bidi="ar-SA"/>
        </w:rPr>
        <w:br w:type="page"/>
      </w:r>
      <w:bookmarkStart w:id="948" w:name="_Toc8292_WPSOffice_Level1"/>
      <w:r>
        <w:rPr>
          <w:rFonts w:hint="eastAsia" w:ascii="新宋体" w:eastAsia="新宋体" w:cs="新宋体"/>
          <w:color w:val="auto"/>
          <w:sz w:val="24"/>
          <w:szCs w:val="24"/>
          <w:highlight w:val="none"/>
          <w:lang w:bidi="ar-SA"/>
        </w:rPr>
        <w:t>五、已标价工程量清单</w:t>
      </w:r>
      <w:bookmarkEnd w:id="948"/>
    </w:p>
    <w:p>
      <w:pPr>
        <w:pStyle w:val="9"/>
        <w:keepNext/>
        <w:keepLines/>
        <w:widowControl/>
        <w:ind w:left="178" w:leftChars="85"/>
        <w:jc w:val="center"/>
        <w:rPr>
          <w:rFonts w:hint="eastAsia" w:ascii="新宋体" w:eastAsia="新宋体" w:cs="新宋体"/>
          <w:color w:val="auto"/>
          <w:sz w:val="24"/>
          <w:szCs w:val="24"/>
          <w:highlight w:val="none"/>
          <w:lang w:bidi="ar-SA"/>
        </w:rPr>
      </w:pPr>
    </w:p>
    <w:p>
      <w:pPr>
        <w:pStyle w:val="9"/>
        <w:keepNext/>
        <w:keepLines/>
        <w:widowControl/>
        <w:ind w:left="178" w:leftChars="85"/>
        <w:jc w:val="center"/>
        <w:rPr>
          <w:rFonts w:hint="eastAsia" w:ascii="新宋体" w:eastAsia="新宋体" w:cs="新宋体"/>
          <w:color w:val="auto"/>
          <w:sz w:val="24"/>
          <w:szCs w:val="24"/>
          <w:highlight w:val="none"/>
          <w:lang w:bidi="ar-SA"/>
        </w:rPr>
      </w:pPr>
    </w:p>
    <w:p>
      <w:pPr>
        <w:pStyle w:val="9"/>
        <w:keepNext/>
        <w:keepLines/>
        <w:widowControl/>
        <w:ind w:left="178" w:leftChars="85"/>
        <w:jc w:val="center"/>
        <w:rPr>
          <w:rFonts w:hint="eastAsia" w:ascii="新宋体" w:eastAsia="新宋体" w:cs="新宋体"/>
          <w:color w:val="auto"/>
          <w:sz w:val="24"/>
          <w:szCs w:val="24"/>
          <w:highlight w:val="none"/>
          <w:lang w:bidi="ar-SA"/>
        </w:rPr>
      </w:pPr>
    </w:p>
    <w:p>
      <w:pPr>
        <w:pStyle w:val="9"/>
        <w:keepNext/>
        <w:keepLines/>
        <w:widowControl/>
        <w:ind w:left="178" w:leftChars="85"/>
        <w:jc w:val="center"/>
        <w:rPr>
          <w:rFonts w:hint="eastAsia" w:ascii="新宋体" w:eastAsia="新宋体" w:cs="新宋体"/>
          <w:color w:val="auto"/>
          <w:sz w:val="24"/>
          <w:szCs w:val="24"/>
          <w:highlight w:val="none"/>
          <w:lang w:bidi="ar-SA"/>
        </w:rPr>
      </w:pPr>
    </w:p>
    <w:p>
      <w:pPr>
        <w:pStyle w:val="9"/>
        <w:keepNext/>
        <w:keepLines/>
        <w:widowControl/>
        <w:ind w:left="178" w:leftChars="85"/>
        <w:jc w:val="center"/>
        <w:rPr>
          <w:rFonts w:hint="eastAsia" w:ascii="新宋体" w:eastAsia="新宋体" w:cs="新宋体"/>
          <w:color w:val="auto"/>
          <w:sz w:val="24"/>
          <w:szCs w:val="24"/>
          <w:highlight w:val="none"/>
          <w:lang w:bidi="ar-SA"/>
        </w:rPr>
      </w:pPr>
    </w:p>
    <w:p>
      <w:pPr>
        <w:pStyle w:val="9"/>
        <w:keepNext/>
        <w:keepLines/>
        <w:widowControl/>
        <w:ind w:left="178" w:leftChars="85"/>
        <w:jc w:val="center"/>
        <w:rPr>
          <w:rFonts w:hint="eastAsia" w:ascii="新宋体" w:eastAsia="新宋体" w:cs="新宋体"/>
          <w:color w:val="auto"/>
          <w:sz w:val="24"/>
          <w:szCs w:val="24"/>
          <w:highlight w:val="none"/>
          <w:lang w:bidi="ar-SA"/>
        </w:rPr>
      </w:pPr>
    </w:p>
    <w:p>
      <w:pPr>
        <w:pStyle w:val="9"/>
        <w:keepNext/>
        <w:keepLines/>
        <w:widowControl/>
        <w:ind w:left="178" w:leftChars="85"/>
        <w:jc w:val="center"/>
        <w:rPr>
          <w:rFonts w:hint="eastAsia" w:ascii="新宋体" w:eastAsia="新宋体" w:cs="新宋体"/>
          <w:color w:val="auto"/>
          <w:sz w:val="24"/>
          <w:szCs w:val="24"/>
          <w:highlight w:val="none"/>
          <w:lang w:bidi="ar-SA"/>
        </w:rPr>
      </w:pPr>
    </w:p>
    <w:p>
      <w:pPr>
        <w:pStyle w:val="9"/>
        <w:keepNext/>
        <w:keepLines/>
        <w:widowControl/>
        <w:ind w:left="178" w:leftChars="85"/>
        <w:jc w:val="center"/>
        <w:rPr>
          <w:rFonts w:hint="eastAsia" w:ascii="新宋体" w:eastAsia="新宋体" w:cs="新宋体"/>
          <w:color w:val="auto"/>
          <w:sz w:val="24"/>
          <w:szCs w:val="24"/>
          <w:highlight w:val="none"/>
          <w:lang w:bidi="ar-SA"/>
        </w:rPr>
      </w:pPr>
      <w:r>
        <w:rPr>
          <w:rFonts w:hint="eastAsia" w:ascii="新宋体" w:eastAsia="新宋体" w:cs="新宋体"/>
          <w:color w:val="auto"/>
          <w:sz w:val="24"/>
          <w:szCs w:val="24"/>
          <w:highlight w:val="none"/>
          <w:lang w:bidi="ar-SA"/>
        </w:rPr>
        <w:t xml:space="preserve"> </w:t>
      </w:r>
    </w:p>
    <w:p>
      <w:pPr>
        <w:pStyle w:val="9"/>
        <w:keepNext/>
        <w:keepLines/>
        <w:widowControl/>
        <w:ind w:left="178" w:leftChars="85"/>
        <w:jc w:val="center"/>
        <w:rPr>
          <w:rFonts w:hint="eastAsia" w:ascii="新宋体" w:eastAsia="新宋体" w:cs="新宋体"/>
          <w:color w:val="auto"/>
          <w:sz w:val="24"/>
          <w:szCs w:val="24"/>
          <w:highlight w:val="none"/>
          <w:lang w:bidi="ar-SA"/>
        </w:rPr>
      </w:pPr>
      <w:r>
        <w:rPr>
          <w:rFonts w:hint="eastAsia" w:ascii="新宋体" w:eastAsia="新宋体" w:cs="新宋体"/>
          <w:color w:val="auto"/>
          <w:sz w:val="24"/>
          <w:szCs w:val="24"/>
          <w:highlight w:val="none"/>
          <w:lang w:bidi="ar-SA"/>
        </w:rPr>
        <w:br w:type="page"/>
      </w:r>
      <w:bookmarkStart w:id="949" w:name="_Toc10307_WPSOffice_Level1"/>
      <w:r>
        <w:rPr>
          <w:rFonts w:hint="eastAsia" w:ascii="新宋体" w:eastAsia="新宋体" w:cs="新宋体"/>
          <w:color w:val="auto"/>
          <w:sz w:val="24"/>
          <w:szCs w:val="24"/>
          <w:highlight w:val="none"/>
          <w:lang w:bidi="ar-SA"/>
        </w:rPr>
        <w:t>六、施工组织设计</w:t>
      </w:r>
      <w:bookmarkEnd w:id="949"/>
    </w:p>
    <w:p>
      <w:pPr>
        <w:spacing w:line="360" w:lineRule="auto"/>
        <w:ind w:firstLine="480" w:firstLineChars="200"/>
        <w:rPr>
          <w:rFonts w:hint="eastAsia"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编制时应采用文字并结合图表形式说明施工方法，应至少包含以下内容：</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color w:val="auto"/>
          <w:sz w:val="24"/>
          <w:szCs w:val="32"/>
          <w:highlight w:val="none"/>
        </w:rPr>
      </w:pPr>
      <w:r>
        <w:rPr>
          <w:rFonts w:hint="eastAsia"/>
          <w:color w:val="auto"/>
          <w:sz w:val="24"/>
          <w:szCs w:val="32"/>
          <w:highlight w:val="none"/>
        </w:rPr>
        <w:t>一、主要施工方案和技术措施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color w:val="auto"/>
          <w:sz w:val="24"/>
          <w:szCs w:val="32"/>
          <w:highlight w:val="none"/>
        </w:rPr>
      </w:pPr>
      <w:r>
        <w:rPr>
          <w:rFonts w:hint="eastAsia" w:ascii="宋体" w:hAnsi="宋体"/>
          <w:color w:val="auto"/>
          <w:sz w:val="24"/>
          <w:szCs w:val="24"/>
          <w:highlight w:val="none"/>
        </w:rPr>
        <w:t>二、</w:t>
      </w:r>
      <w:r>
        <w:rPr>
          <w:rFonts w:hint="eastAsia"/>
          <w:color w:val="auto"/>
          <w:sz w:val="24"/>
          <w:szCs w:val="32"/>
          <w:highlight w:val="none"/>
        </w:rPr>
        <w:t>质量管理体系与措施；安全管理体系与措施；文明施工、环境保护管理体系及施工现场扬尘治理措施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color w:val="auto"/>
          <w:sz w:val="24"/>
          <w:szCs w:val="32"/>
          <w:highlight w:val="none"/>
        </w:rPr>
      </w:pPr>
      <w:r>
        <w:rPr>
          <w:rFonts w:hint="eastAsia"/>
          <w:color w:val="auto"/>
          <w:sz w:val="24"/>
          <w:szCs w:val="32"/>
          <w:highlight w:val="none"/>
        </w:rPr>
        <w:t>三、工期保证措施；拟投入资源配备计划；施工进度表与网络计划图；施工总平面布置图</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四、风险管理措施</w:t>
      </w:r>
      <w:r>
        <w:rPr>
          <w:rFonts w:hint="eastAsia" w:ascii="宋体" w:hAnsi="宋体"/>
          <w:color w:val="auto"/>
          <w:sz w:val="24"/>
          <w:szCs w:val="24"/>
          <w:highlight w:val="none"/>
          <w:lang w:eastAsia="zh-CN"/>
        </w:rPr>
        <w:t>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color w:val="auto"/>
          <w:sz w:val="24"/>
          <w:highlight w:val="none"/>
        </w:rPr>
      </w:pPr>
    </w:p>
    <w:p>
      <w:pPr>
        <w:ind w:firstLine="420" w:firstLineChars="200"/>
        <w:jc w:val="center"/>
        <w:rPr>
          <w:color w:val="auto"/>
          <w:highlight w:val="none"/>
        </w:rPr>
      </w:pPr>
    </w:p>
    <w:p>
      <w:pPr>
        <w:ind w:firstLine="420" w:firstLineChars="200"/>
        <w:jc w:val="center"/>
        <w:rPr>
          <w:color w:val="auto"/>
          <w:highlight w:val="none"/>
        </w:rPr>
      </w:pPr>
    </w:p>
    <w:p>
      <w:pPr>
        <w:ind w:firstLine="420" w:firstLineChars="200"/>
        <w:jc w:val="center"/>
        <w:rPr>
          <w:color w:val="auto"/>
          <w:highlight w:val="none"/>
        </w:rPr>
      </w:pPr>
    </w:p>
    <w:p>
      <w:pPr>
        <w:ind w:firstLine="420" w:firstLineChars="200"/>
        <w:jc w:val="center"/>
        <w:rPr>
          <w:color w:val="auto"/>
          <w:highlight w:val="none"/>
        </w:rPr>
      </w:pPr>
    </w:p>
    <w:p>
      <w:pPr>
        <w:ind w:firstLine="420" w:firstLineChars="200"/>
        <w:jc w:val="center"/>
        <w:rPr>
          <w:color w:val="auto"/>
          <w:highlight w:val="none"/>
        </w:rPr>
      </w:pPr>
    </w:p>
    <w:p>
      <w:pPr>
        <w:ind w:firstLine="420" w:firstLineChars="200"/>
        <w:jc w:val="center"/>
        <w:rPr>
          <w:color w:val="auto"/>
          <w:highlight w:val="none"/>
        </w:rPr>
      </w:pPr>
    </w:p>
    <w:p>
      <w:pPr>
        <w:ind w:firstLine="420" w:firstLineChars="200"/>
        <w:jc w:val="center"/>
        <w:rPr>
          <w:color w:val="auto"/>
          <w:highlight w:val="none"/>
        </w:rPr>
      </w:pPr>
    </w:p>
    <w:p>
      <w:pPr>
        <w:ind w:firstLine="420" w:firstLineChars="200"/>
        <w:jc w:val="center"/>
        <w:rPr>
          <w:color w:val="auto"/>
          <w:highlight w:val="none"/>
        </w:rPr>
      </w:pPr>
    </w:p>
    <w:p>
      <w:pPr>
        <w:ind w:firstLine="420" w:firstLineChars="200"/>
        <w:jc w:val="center"/>
        <w:rPr>
          <w:color w:val="auto"/>
          <w:highlight w:val="none"/>
        </w:rPr>
      </w:pPr>
    </w:p>
    <w:p>
      <w:pPr>
        <w:ind w:firstLine="420" w:firstLineChars="200"/>
        <w:jc w:val="center"/>
        <w:rPr>
          <w:color w:val="auto"/>
          <w:highlight w:val="none"/>
        </w:rPr>
      </w:pPr>
    </w:p>
    <w:p>
      <w:pPr>
        <w:ind w:firstLine="420" w:firstLineChars="200"/>
        <w:jc w:val="center"/>
        <w:rPr>
          <w:color w:val="auto"/>
          <w:highlight w:val="none"/>
        </w:rPr>
      </w:pPr>
    </w:p>
    <w:p>
      <w:pPr>
        <w:spacing w:before="120" w:beforeLines="50" w:after="240" w:afterLines="100" w:line="420" w:lineRule="exact"/>
        <w:rPr>
          <w:rFonts w:hint="eastAsia" w:ascii="黑体" w:eastAsia="黑体"/>
          <w:color w:val="auto"/>
          <w:sz w:val="24"/>
          <w:highlight w:val="none"/>
        </w:rPr>
      </w:pPr>
      <w:r>
        <w:rPr>
          <w:rFonts w:hint="eastAsia" w:ascii="黑体" w:eastAsia="黑体"/>
          <w:color w:val="auto"/>
          <w:sz w:val="24"/>
          <w:highlight w:val="none"/>
        </w:rPr>
        <w:br w:type="page"/>
      </w:r>
      <w:r>
        <w:rPr>
          <w:rFonts w:hint="eastAsia" w:ascii="黑体" w:eastAsia="黑体"/>
          <w:color w:val="auto"/>
          <w:sz w:val="24"/>
          <w:highlight w:val="none"/>
        </w:rPr>
        <w:t>附表一：拟投入本工程的主要施工设备表</w:t>
      </w:r>
    </w:p>
    <w:tbl>
      <w:tblPr>
        <w:tblStyle w:val="19"/>
        <w:tblW w:w="90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131"/>
        <w:gridCol w:w="713"/>
        <w:gridCol w:w="1086"/>
        <w:gridCol w:w="753"/>
        <w:gridCol w:w="753"/>
        <w:gridCol w:w="1250"/>
        <w:gridCol w:w="927"/>
        <w:gridCol w:w="927"/>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84"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序号</w:t>
            </w:r>
          </w:p>
        </w:tc>
        <w:tc>
          <w:tcPr>
            <w:tcW w:w="1131"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设备名称</w:t>
            </w:r>
          </w:p>
        </w:tc>
        <w:tc>
          <w:tcPr>
            <w:tcW w:w="713"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型号</w:t>
            </w:r>
          </w:p>
          <w:p>
            <w:pPr>
              <w:jc w:val="center"/>
              <w:rPr>
                <w:rFonts w:hint="eastAsia" w:ascii="宋体"/>
                <w:color w:val="auto"/>
                <w:szCs w:val="21"/>
                <w:highlight w:val="none"/>
              </w:rPr>
            </w:pPr>
            <w:r>
              <w:rPr>
                <w:rFonts w:hint="eastAsia" w:ascii="宋体"/>
                <w:color w:val="auto"/>
                <w:szCs w:val="21"/>
                <w:highlight w:val="none"/>
              </w:rPr>
              <w:t>规格</w:t>
            </w:r>
          </w:p>
        </w:tc>
        <w:tc>
          <w:tcPr>
            <w:tcW w:w="1086"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数  量</w:t>
            </w:r>
          </w:p>
        </w:tc>
        <w:tc>
          <w:tcPr>
            <w:tcW w:w="753"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国别</w:t>
            </w:r>
          </w:p>
          <w:p>
            <w:pPr>
              <w:jc w:val="center"/>
              <w:rPr>
                <w:rFonts w:hint="eastAsia" w:ascii="宋体"/>
                <w:color w:val="auto"/>
                <w:szCs w:val="21"/>
                <w:highlight w:val="none"/>
              </w:rPr>
            </w:pPr>
            <w:r>
              <w:rPr>
                <w:rFonts w:hint="eastAsia" w:ascii="宋体"/>
                <w:color w:val="auto"/>
                <w:szCs w:val="21"/>
                <w:highlight w:val="none"/>
              </w:rPr>
              <w:t>产地</w:t>
            </w:r>
          </w:p>
        </w:tc>
        <w:tc>
          <w:tcPr>
            <w:tcW w:w="753"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制造</w:t>
            </w:r>
          </w:p>
          <w:p>
            <w:pPr>
              <w:jc w:val="center"/>
              <w:rPr>
                <w:rFonts w:hint="eastAsia" w:ascii="宋体"/>
                <w:color w:val="auto"/>
                <w:szCs w:val="21"/>
                <w:highlight w:val="none"/>
              </w:rPr>
            </w:pPr>
            <w:r>
              <w:rPr>
                <w:rFonts w:hint="eastAsia" w:ascii="宋体"/>
                <w:color w:val="auto"/>
                <w:szCs w:val="21"/>
                <w:highlight w:val="none"/>
              </w:rPr>
              <w:t>年份</w:t>
            </w:r>
          </w:p>
        </w:tc>
        <w:tc>
          <w:tcPr>
            <w:tcW w:w="1250"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额定功率</w:t>
            </w:r>
          </w:p>
          <w:p>
            <w:pPr>
              <w:jc w:val="center"/>
              <w:rPr>
                <w:rFonts w:hint="eastAsia" w:ascii="宋体"/>
                <w:color w:val="auto"/>
                <w:szCs w:val="21"/>
                <w:highlight w:val="none"/>
              </w:rPr>
            </w:pPr>
            <w:r>
              <w:rPr>
                <w:rFonts w:hint="eastAsia" w:ascii="宋体"/>
                <w:color w:val="auto"/>
                <w:szCs w:val="21"/>
                <w:highlight w:val="none"/>
              </w:rPr>
              <w:t>（KW）</w:t>
            </w:r>
          </w:p>
        </w:tc>
        <w:tc>
          <w:tcPr>
            <w:tcW w:w="927"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生产</w:t>
            </w:r>
          </w:p>
          <w:p>
            <w:pPr>
              <w:jc w:val="center"/>
              <w:rPr>
                <w:rFonts w:hint="eastAsia" w:ascii="宋体"/>
                <w:color w:val="auto"/>
                <w:szCs w:val="21"/>
                <w:highlight w:val="none"/>
              </w:rPr>
            </w:pPr>
            <w:r>
              <w:rPr>
                <w:rFonts w:hint="eastAsia" w:ascii="宋体"/>
                <w:color w:val="auto"/>
                <w:szCs w:val="21"/>
                <w:highlight w:val="none"/>
              </w:rPr>
              <w:t>能力</w:t>
            </w:r>
          </w:p>
        </w:tc>
        <w:tc>
          <w:tcPr>
            <w:tcW w:w="927"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用于施</w:t>
            </w:r>
          </w:p>
          <w:p>
            <w:pPr>
              <w:jc w:val="center"/>
              <w:rPr>
                <w:rFonts w:hint="eastAsia" w:ascii="宋体"/>
                <w:color w:val="auto"/>
                <w:szCs w:val="21"/>
                <w:highlight w:val="none"/>
              </w:rPr>
            </w:pPr>
            <w:r>
              <w:rPr>
                <w:rFonts w:hint="eastAsia" w:ascii="宋体"/>
                <w:color w:val="auto"/>
                <w:szCs w:val="21"/>
                <w:highlight w:val="none"/>
              </w:rPr>
              <w:t>工部位</w:t>
            </w:r>
          </w:p>
        </w:tc>
        <w:tc>
          <w:tcPr>
            <w:tcW w:w="813"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84" w:type="dxa"/>
            <w:tcBorders>
              <w:tl2br w:val="nil"/>
              <w:tr2bl w:val="nil"/>
            </w:tcBorders>
            <w:vAlign w:val="center"/>
          </w:tcPr>
          <w:p>
            <w:pPr>
              <w:jc w:val="center"/>
              <w:rPr>
                <w:rFonts w:hint="eastAsia" w:ascii="宋体"/>
                <w:color w:val="auto"/>
                <w:szCs w:val="21"/>
                <w:highlight w:val="none"/>
              </w:rPr>
            </w:pPr>
          </w:p>
        </w:tc>
        <w:tc>
          <w:tcPr>
            <w:tcW w:w="1131" w:type="dxa"/>
            <w:tcBorders>
              <w:tl2br w:val="nil"/>
              <w:tr2bl w:val="nil"/>
            </w:tcBorders>
            <w:vAlign w:val="center"/>
          </w:tcPr>
          <w:p>
            <w:pPr>
              <w:jc w:val="center"/>
              <w:rPr>
                <w:rFonts w:hint="eastAsia" w:ascii="宋体"/>
                <w:color w:val="auto"/>
                <w:szCs w:val="21"/>
                <w:highlight w:val="none"/>
              </w:rPr>
            </w:pPr>
          </w:p>
        </w:tc>
        <w:tc>
          <w:tcPr>
            <w:tcW w:w="713" w:type="dxa"/>
            <w:tcBorders>
              <w:tl2br w:val="nil"/>
              <w:tr2bl w:val="nil"/>
            </w:tcBorders>
            <w:vAlign w:val="center"/>
          </w:tcPr>
          <w:p>
            <w:pPr>
              <w:jc w:val="center"/>
              <w:rPr>
                <w:rFonts w:hint="eastAsia" w:ascii="宋体"/>
                <w:color w:val="auto"/>
                <w:szCs w:val="21"/>
                <w:highlight w:val="none"/>
              </w:rPr>
            </w:pPr>
          </w:p>
        </w:tc>
        <w:tc>
          <w:tcPr>
            <w:tcW w:w="1086"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753" w:type="dxa"/>
            <w:tcBorders>
              <w:tl2br w:val="nil"/>
              <w:tr2bl w:val="nil"/>
            </w:tcBorders>
            <w:vAlign w:val="center"/>
          </w:tcPr>
          <w:p>
            <w:pPr>
              <w:jc w:val="center"/>
              <w:rPr>
                <w:rFonts w:hint="eastAsia" w:ascii="宋体"/>
                <w:color w:val="auto"/>
                <w:szCs w:val="21"/>
                <w:highlight w:val="none"/>
              </w:rPr>
            </w:pPr>
          </w:p>
        </w:tc>
        <w:tc>
          <w:tcPr>
            <w:tcW w:w="1250"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927" w:type="dxa"/>
            <w:tcBorders>
              <w:tl2br w:val="nil"/>
              <w:tr2bl w:val="nil"/>
            </w:tcBorders>
            <w:vAlign w:val="center"/>
          </w:tcPr>
          <w:p>
            <w:pPr>
              <w:jc w:val="center"/>
              <w:rPr>
                <w:rFonts w:hint="eastAsia" w:ascii="宋体"/>
                <w:color w:val="auto"/>
                <w:szCs w:val="21"/>
                <w:highlight w:val="none"/>
              </w:rPr>
            </w:pPr>
          </w:p>
        </w:tc>
        <w:tc>
          <w:tcPr>
            <w:tcW w:w="813" w:type="dxa"/>
            <w:tcBorders>
              <w:tl2br w:val="nil"/>
              <w:tr2bl w:val="nil"/>
            </w:tcBorders>
            <w:vAlign w:val="center"/>
          </w:tcPr>
          <w:p>
            <w:pPr>
              <w:jc w:val="center"/>
              <w:rPr>
                <w:rFonts w:hint="eastAsia" w:ascii="宋体"/>
                <w:color w:val="auto"/>
                <w:szCs w:val="21"/>
                <w:highlight w:val="none"/>
              </w:rPr>
            </w:pPr>
          </w:p>
        </w:tc>
      </w:tr>
    </w:tbl>
    <w:p>
      <w:pPr>
        <w:ind w:firstLine="420" w:firstLineChars="200"/>
        <w:jc w:val="center"/>
        <w:rPr>
          <w:color w:val="auto"/>
          <w:highlight w:val="none"/>
        </w:rPr>
      </w:pPr>
    </w:p>
    <w:p>
      <w:pPr>
        <w:ind w:firstLine="420" w:firstLineChars="200"/>
        <w:jc w:val="center"/>
        <w:rPr>
          <w:color w:val="auto"/>
          <w:highlight w:val="none"/>
        </w:rPr>
      </w:pPr>
    </w:p>
    <w:p>
      <w:pPr>
        <w:spacing w:before="120" w:beforeLines="50" w:after="240" w:afterLines="100" w:line="420" w:lineRule="exact"/>
        <w:rPr>
          <w:rFonts w:hint="eastAsia" w:ascii="黑体" w:eastAsia="黑体"/>
          <w:color w:val="auto"/>
          <w:sz w:val="24"/>
          <w:highlight w:val="none"/>
        </w:rPr>
      </w:pPr>
      <w:r>
        <w:rPr>
          <w:rFonts w:hint="eastAsia" w:ascii="黑体" w:eastAsia="黑体"/>
          <w:color w:val="auto"/>
          <w:sz w:val="24"/>
          <w:highlight w:val="none"/>
        </w:rPr>
        <w:br w:type="page"/>
      </w:r>
      <w:r>
        <w:rPr>
          <w:rFonts w:hint="eastAsia" w:ascii="黑体" w:eastAsia="黑体"/>
          <w:color w:val="auto"/>
          <w:sz w:val="24"/>
          <w:highlight w:val="none"/>
        </w:rPr>
        <w:t>附表二：拟配备本工程的试验和检测仪器设备表</w:t>
      </w:r>
    </w:p>
    <w:tbl>
      <w:tblPr>
        <w:tblStyle w:val="19"/>
        <w:tblW w:w="91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40"/>
        <w:gridCol w:w="720"/>
        <w:gridCol w:w="1095"/>
        <w:gridCol w:w="760"/>
        <w:gridCol w:w="760"/>
        <w:gridCol w:w="1261"/>
        <w:gridCol w:w="1778"/>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90"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序号</w:t>
            </w:r>
          </w:p>
        </w:tc>
        <w:tc>
          <w:tcPr>
            <w:tcW w:w="1140"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仪器设备</w:t>
            </w:r>
          </w:p>
          <w:p>
            <w:pPr>
              <w:jc w:val="center"/>
              <w:rPr>
                <w:rFonts w:hint="eastAsia" w:ascii="宋体"/>
                <w:color w:val="auto"/>
                <w:szCs w:val="21"/>
                <w:highlight w:val="none"/>
              </w:rPr>
            </w:pPr>
            <w:r>
              <w:rPr>
                <w:rFonts w:hint="eastAsia" w:ascii="宋体"/>
                <w:color w:val="auto"/>
                <w:szCs w:val="21"/>
                <w:highlight w:val="none"/>
              </w:rPr>
              <w:t>名    称</w:t>
            </w:r>
          </w:p>
        </w:tc>
        <w:tc>
          <w:tcPr>
            <w:tcW w:w="720"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型号</w:t>
            </w:r>
          </w:p>
          <w:p>
            <w:pPr>
              <w:jc w:val="center"/>
              <w:rPr>
                <w:rFonts w:hint="eastAsia" w:ascii="宋体"/>
                <w:color w:val="auto"/>
                <w:szCs w:val="21"/>
                <w:highlight w:val="none"/>
              </w:rPr>
            </w:pPr>
            <w:r>
              <w:rPr>
                <w:rFonts w:hint="eastAsia" w:ascii="宋体"/>
                <w:color w:val="auto"/>
                <w:szCs w:val="21"/>
                <w:highlight w:val="none"/>
              </w:rPr>
              <w:t>规格</w:t>
            </w:r>
          </w:p>
        </w:tc>
        <w:tc>
          <w:tcPr>
            <w:tcW w:w="1095"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数  量</w:t>
            </w:r>
          </w:p>
        </w:tc>
        <w:tc>
          <w:tcPr>
            <w:tcW w:w="760"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国别</w:t>
            </w:r>
          </w:p>
          <w:p>
            <w:pPr>
              <w:jc w:val="center"/>
              <w:rPr>
                <w:rFonts w:hint="eastAsia" w:ascii="宋体"/>
                <w:color w:val="auto"/>
                <w:szCs w:val="21"/>
                <w:highlight w:val="none"/>
              </w:rPr>
            </w:pPr>
            <w:r>
              <w:rPr>
                <w:rFonts w:hint="eastAsia" w:ascii="宋体"/>
                <w:color w:val="auto"/>
                <w:szCs w:val="21"/>
                <w:highlight w:val="none"/>
              </w:rPr>
              <w:t>产地</w:t>
            </w:r>
          </w:p>
        </w:tc>
        <w:tc>
          <w:tcPr>
            <w:tcW w:w="760"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制造</w:t>
            </w:r>
          </w:p>
          <w:p>
            <w:pPr>
              <w:jc w:val="center"/>
              <w:rPr>
                <w:rFonts w:hint="eastAsia" w:ascii="宋体"/>
                <w:color w:val="auto"/>
                <w:szCs w:val="21"/>
                <w:highlight w:val="none"/>
              </w:rPr>
            </w:pPr>
            <w:r>
              <w:rPr>
                <w:rFonts w:hint="eastAsia" w:ascii="宋体"/>
                <w:color w:val="auto"/>
                <w:szCs w:val="21"/>
                <w:highlight w:val="none"/>
              </w:rPr>
              <w:t>年份</w:t>
            </w:r>
          </w:p>
        </w:tc>
        <w:tc>
          <w:tcPr>
            <w:tcW w:w="1261"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已使用台</w:t>
            </w:r>
          </w:p>
          <w:p>
            <w:pPr>
              <w:jc w:val="center"/>
              <w:rPr>
                <w:rFonts w:hint="eastAsia" w:ascii="宋体"/>
                <w:color w:val="auto"/>
                <w:szCs w:val="21"/>
                <w:highlight w:val="none"/>
              </w:rPr>
            </w:pPr>
            <w:r>
              <w:rPr>
                <w:rFonts w:hint="eastAsia" w:ascii="宋体"/>
                <w:color w:val="auto"/>
                <w:szCs w:val="21"/>
                <w:highlight w:val="none"/>
              </w:rPr>
              <w:t>时    数</w:t>
            </w:r>
          </w:p>
        </w:tc>
        <w:tc>
          <w:tcPr>
            <w:tcW w:w="1778"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用  途</w:t>
            </w:r>
          </w:p>
        </w:tc>
        <w:tc>
          <w:tcPr>
            <w:tcW w:w="911"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90" w:type="dxa"/>
            <w:tcBorders>
              <w:tl2br w:val="nil"/>
              <w:tr2bl w:val="nil"/>
            </w:tcBorders>
            <w:vAlign w:val="center"/>
          </w:tcPr>
          <w:p>
            <w:pPr>
              <w:jc w:val="center"/>
              <w:rPr>
                <w:rFonts w:hint="eastAsia" w:ascii="宋体"/>
                <w:color w:val="auto"/>
                <w:szCs w:val="21"/>
                <w:highlight w:val="none"/>
              </w:rPr>
            </w:pPr>
          </w:p>
        </w:tc>
        <w:tc>
          <w:tcPr>
            <w:tcW w:w="1140" w:type="dxa"/>
            <w:tcBorders>
              <w:tl2br w:val="nil"/>
              <w:tr2bl w:val="nil"/>
            </w:tcBorders>
            <w:vAlign w:val="center"/>
          </w:tcPr>
          <w:p>
            <w:pPr>
              <w:jc w:val="center"/>
              <w:rPr>
                <w:rFonts w:hint="eastAsia" w:ascii="宋体"/>
                <w:color w:val="auto"/>
                <w:szCs w:val="21"/>
                <w:highlight w:val="none"/>
              </w:rPr>
            </w:pPr>
          </w:p>
        </w:tc>
        <w:tc>
          <w:tcPr>
            <w:tcW w:w="720" w:type="dxa"/>
            <w:tcBorders>
              <w:tl2br w:val="nil"/>
              <w:tr2bl w:val="nil"/>
            </w:tcBorders>
            <w:vAlign w:val="center"/>
          </w:tcPr>
          <w:p>
            <w:pPr>
              <w:jc w:val="center"/>
              <w:rPr>
                <w:rFonts w:hint="eastAsia" w:ascii="宋体"/>
                <w:color w:val="auto"/>
                <w:szCs w:val="21"/>
                <w:highlight w:val="none"/>
              </w:rPr>
            </w:pPr>
          </w:p>
        </w:tc>
        <w:tc>
          <w:tcPr>
            <w:tcW w:w="1095"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760" w:type="dxa"/>
            <w:tcBorders>
              <w:tl2br w:val="nil"/>
              <w:tr2bl w:val="nil"/>
            </w:tcBorders>
            <w:vAlign w:val="center"/>
          </w:tcPr>
          <w:p>
            <w:pPr>
              <w:jc w:val="center"/>
              <w:rPr>
                <w:rFonts w:hint="eastAsia" w:ascii="宋体"/>
                <w:color w:val="auto"/>
                <w:szCs w:val="21"/>
                <w:highlight w:val="none"/>
              </w:rPr>
            </w:pPr>
          </w:p>
        </w:tc>
        <w:tc>
          <w:tcPr>
            <w:tcW w:w="1261" w:type="dxa"/>
            <w:tcBorders>
              <w:tl2br w:val="nil"/>
              <w:tr2bl w:val="nil"/>
            </w:tcBorders>
            <w:vAlign w:val="center"/>
          </w:tcPr>
          <w:p>
            <w:pPr>
              <w:jc w:val="center"/>
              <w:rPr>
                <w:rFonts w:hint="eastAsia" w:ascii="宋体"/>
                <w:color w:val="auto"/>
                <w:szCs w:val="21"/>
                <w:highlight w:val="none"/>
              </w:rPr>
            </w:pPr>
          </w:p>
        </w:tc>
        <w:tc>
          <w:tcPr>
            <w:tcW w:w="1778" w:type="dxa"/>
            <w:tcBorders>
              <w:tl2br w:val="nil"/>
              <w:tr2bl w:val="nil"/>
            </w:tcBorders>
            <w:vAlign w:val="center"/>
          </w:tcPr>
          <w:p>
            <w:pPr>
              <w:jc w:val="center"/>
              <w:rPr>
                <w:rFonts w:hint="eastAsia" w:ascii="宋体"/>
                <w:color w:val="auto"/>
                <w:szCs w:val="21"/>
                <w:highlight w:val="none"/>
              </w:rPr>
            </w:pPr>
          </w:p>
        </w:tc>
        <w:tc>
          <w:tcPr>
            <w:tcW w:w="911" w:type="dxa"/>
            <w:tcBorders>
              <w:tl2br w:val="nil"/>
              <w:tr2bl w:val="nil"/>
            </w:tcBorders>
            <w:vAlign w:val="center"/>
          </w:tcPr>
          <w:p>
            <w:pPr>
              <w:jc w:val="center"/>
              <w:rPr>
                <w:rFonts w:hint="eastAsia" w:ascii="宋体"/>
                <w:color w:val="auto"/>
                <w:szCs w:val="21"/>
                <w:highlight w:val="none"/>
              </w:rPr>
            </w:pPr>
          </w:p>
        </w:tc>
      </w:tr>
    </w:tbl>
    <w:p>
      <w:pPr>
        <w:ind w:firstLine="420" w:firstLineChars="200"/>
        <w:jc w:val="center"/>
        <w:rPr>
          <w:color w:val="auto"/>
          <w:highlight w:val="none"/>
        </w:rPr>
      </w:pPr>
    </w:p>
    <w:p>
      <w:pPr>
        <w:ind w:firstLine="420" w:firstLineChars="200"/>
        <w:jc w:val="center"/>
        <w:rPr>
          <w:color w:val="auto"/>
          <w:highlight w:val="none"/>
        </w:rPr>
      </w:pPr>
    </w:p>
    <w:p>
      <w:pPr>
        <w:spacing w:before="120" w:beforeLines="50" w:after="120" w:afterLines="50" w:line="420" w:lineRule="exact"/>
        <w:rPr>
          <w:rFonts w:hint="eastAsia" w:ascii="黑体" w:eastAsia="黑体"/>
          <w:color w:val="auto"/>
          <w:sz w:val="24"/>
          <w:highlight w:val="none"/>
        </w:rPr>
      </w:pPr>
      <w:r>
        <w:rPr>
          <w:rFonts w:hint="eastAsia" w:ascii="黑体" w:eastAsia="黑体"/>
          <w:color w:val="auto"/>
          <w:sz w:val="24"/>
          <w:highlight w:val="none"/>
        </w:rPr>
        <w:br w:type="page"/>
      </w:r>
      <w:r>
        <w:rPr>
          <w:rFonts w:hint="eastAsia" w:ascii="黑体" w:eastAsia="黑体"/>
          <w:color w:val="auto"/>
          <w:sz w:val="24"/>
          <w:highlight w:val="none"/>
        </w:rPr>
        <w:t>附表三：劳动力计划表</w:t>
      </w:r>
    </w:p>
    <w:p>
      <w:pPr>
        <w:wordWrap w:val="0"/>
        <w:spacing w:line="420" w:lineRule="exact"/>
        <w:jc w:val="center"/>
        <w:rPr>
          <w:rFonts w:hint="eastAsia" w:ascii="黑体" w:eastAsia="黑体"/>
          <w:color w:val="auto"/>
          <w:szCs w:val="21"/>
          <w:highlight w:val="none"/>
        </w:rPr>
      </w:pPr>
      <w:r>
        <w:rPr>
          <w:rFonts w:hint="eastAsia" w:ascii="黑体" w:eastAsia="黑体"/>
          <w:color w:val="auto"/>
          <w:szCs w:val="21"/>
          <w:highlight w:val="none"/>
          <w:lang w:val="en-US" w:eastAsia="zh-CN"/>
        </w:rPr>
        <w:t xml:space="preserve">                                                                   </w:t>
      </w:r>
      <w:r>
        <w:rPr>
          <w:rFonts w:hint="eastAsia" w:ascii="黑体" w:eastAsia="黑体"/>
          <w:color w:val="auto"/>
          <w:szCs w:val="21"/>
          <w:highlight w:val="none"/>
        </w:rPr>
        <w:t xml:space="preserve">单位：人   </w:t>
      </w:r>
    </w:p>
    <w:tbl>
      <w:tblPr>
        <w:tblStyle w:val="19"/>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09"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工种</w:t>
            </w:r>
          </w:p>
        </w:tc>
        <w:tc>
          <w:tcPr>
            <w:tcW w:w="7796" w:type="dxa"/>
            <w:gridSpan w:val="7"/>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tcBorders>
              <w:tl2br w:val="nil"/>
              <w:tr2bl w:val="nil"/>
            </w:tcBorders>
            <w:vAlign w:val="center"/>
          </w:tcPr>
          <w:p>
            <w:pPr>
              <w:jc w:val="center"/>
              <w:rPr>
                <w:rFonts w:hint="eastAsia" w:ascii="宋体"/>
                <w:color w:val="auto"/>
                <w:szCs w:val="21"/>
                <w:highlight w:val="none"/>
              </w:rPr>
            </w:pPr>
          </w:p>
        </w:tc>
        <w:tc>
          <w:tcPr>
            <w:tcW w:w="1418"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c>
          <w:tcPr>
            <w:tcW w:w="1063" w:type="dxa"/>
            <w:tcBorders>
              <w:tl2br w:val="nil"/>
              <w:tr2bl w:val="nil"/>
            </w:tcBorders>
            <w:vAlign w:val="center"/>
          </w:tcPr>
          <w:p>
            <w:pPr>
              <w:jc w:val="center"/>
              <w:rPr>
                <w:rFonts w:hint="eastAsia" w:ascii="宋体"/>
                <w:color w:val="auto"/>
                <w:szCs w:val="21"/>
                <w:highlight w:val="none"/>
              </w:rPr>
            </w:pPr>
          </w:p>
        </w:tc>
      </w:tr>
    </w:tbl>
    <w:p>
      <w:pPr>
        <w:spacing w:before="120" w:beforeLines="50" w:after="240" w:afterLines="100" w:line="420" w:lineRule="exact"/>
        <w:rPr>
          <w:rFonts w:hint="eastAsia" w:ascii="黑体" w:eastAsia="黑体"/>
          <w:color w:val="auto"/>
          <w:sz w:val="24"/>
          <w:highlight w:val="none"/>
        </w:rPr>
      </w:pPr>
      <w:r>
        <w:rPr>
          <w:rFonts w:hint="eastAsia" w:ascii="黑体" w:eastAsia="黑体"/>
          <w:color w:val="auto"/>
          <w:sz w:val="24"/>
          <w:highlight w:val="none"/>
        </w:rPr>
        <w:br w:type="page"/>
      </w:r>
      <w:r>
        <w:rPr>
          <w:rFonts w:hint="eastAsia" w:ascii="黑体" w:eastAsia="黑体"/>
          <w:color w:val="auto"/>
          <w:sz w:val="24"/>
          <w:highlight w:val="none"/>
        </w:rPr>
        <w:t>附表四：计划开、竣工日期和施工进度网络图</w:t>
      </w:r>
    </w:p>
    <w:p>
      <w:pPr>
        <w:spacing w:line="420" w:lineRule="exact"/>
        <w:ind w:firstLine="480" w:firstLineChars="200"/>
        <w:rPr>
          <w:rFonts w:hint="eastAsia" w:ascii="宋体"/>
          <w:color w:val="auto"/>
          <w:sz w:val="24"/>
          <w:szCs w:val="24"/>
          <w:highlight w:val="none"/>
        </w:rPr>
      </w:pPr>
      <w:r>
        <w:rPr>
          <w:rFonts w:hint="eastAsia" w:ascii="宋体"/>
          <w:color w:val="auto"/>
          <w:sz w:val="24"/>
          <w:szCs w:val="24"/>
          <w:highlight w:val="none"/>
        </w:rPr>
        <w:t>1．投标人应递交施工进度网络图或施工进度表，说明按招标文件要求的</w:t>
      </w:r>
      <w:r>
        <w:rPr>
          <w:rFonts w:hint="eastAsia" w:ascii="宋体"/>
          <w:color w:val="auto"/>
          <w:sz w:val="24"/>
          <w:szCs w:val="24"/>
          <w:highlight w:val="none"/>
          <w:lang w:eastAsia="zh-CN"/>
        </w:rPr>
        <w:t>施工</w:t>
      </w:r>
      <w:r>
        <w:rPr>
          <w:rFonts w:hint="eastAsia" w:ascii="宋体"/>
          <w:color w:val="auto"/>
          <w:sz w:val="24"/>
          <w:szCs w:val="24"/>
          <w:highlight w:val="none"/>
        </w:rPr>
        <w:t>工期进行施工的各个关键日期。</w:t>
      </w:r>
    </w:p>
    <w:p>
      <w:pPr>
        <w:spacing w:line="420" w:lineRule="exact"/>
        <w:ind w:firstLine="480" w:firstLineChars="200"/>
        <w:rPr>
          <w:rFonts w:hint="eastAsia" w:ascii="宋体"/>
          <w:color w:val="auto"/>
          <w:sz w:val="24"/>
          <w:szCs w:val="24"/>
          <w:highlight w:val="none"/>
        </w:rPr>
      </w:pPr>
      <w:r>
        <w:rPr>
          <w:rFonts w:hint="eastAsia" w:ascii="宋体"/>
          <w:color w:val="auto"/>
          <w:sz w:val="24"/>
          <w:szCs w:val="24"/>
          <w:highlight w:val="none"/>
        </w:rPr>
        <w:t>2．施工进度表可采用网络图和（或）横道图表示。</w:t>
      </w:r>
    </w:p>
    <w:p>
      <w:pPr>
        <w:spacing w:before="120" w:beforeLines="50" w:after="240" w:afterLines="100" w:line="420" w:lineRule="exact"/>
        <w:rPr>
          <w:rFonts w:hint="eastAsia" w:ascii="宋体"/>
          <w:color w:val="auto"/>
          <w:sz w:val="24"/>
          <w:szCs w:val="24"/>
          <w:highlight w:val="none"/>
        </w:rPr>
      </w:pPr>
      <w:r>
        <w:rPr>
          <w:rFonts w:hint="eastAsia" w:ascii="黑体" w:eastAsia="黑体"/>
          <w:color w:val="auto"/>
          <w:sz w:val="24"/>
          <w:szCs w:val="24"/>
          <w:highlight w:val="none"/>
        </w:rPr>
        <w:t>附表五：施工总平面图</w:t>
      </w:r>
    </w:p>
    <w:p>
      <w:pPr>
        <w:spacing w:line="420" w:lineRule="exact"/>
        <w:ind w:firstLine="480" w:firstLineChars="200"/>
        <w:rPr>
          <w:rFonts w:hint="eastAsia" w:ascii="宋体"/>
          <w:color w:val="auto"/>
          <w:sz w:val="24"/>
          <w:szCs w:val="24"/>
          <w:highlight w:val="none"/>
        </w:rPr>
      </w:pPr>
      <w:r>
        <w:rPr>
          <w:rFonts w:hint="eastAsia" w:ascii="宋体"/>
          <w:color w:val="auto"/>
          <w:sz w:val="24"/>
          <w:szCs w:val="24"/>
          <w:highlight w:val="none"/>
        </w:rPr>
        <w:t>投标人应递交一份施工总平面图，绘出现场临时设施布置图表并附文字说明，说明临时设施、加工车间、现场办公、设备及仓储、供电、供水、卫生、生活、道路、消防等设施的情况和布置。</w:t>
      </w:r>
    </w:p>
    <w:p>
      <w:pPr>
        <w:jc w:val="center"/>
        <w:rPr>
          <w:rFonts w:hint="eastAsia" w:ascii="新宋体" w:eastAsia="新宋体" w:cs="新宋体"/>
          <w:color w:val="auto"/>
          <w:sz w:val="24"/>
          <w:highlight w:val="none"/>
          <w:lang w:bidi="ar-SA"/>
        </w:rPr>
      </w:pPr>
      <w:r>
        <w:rPr>
          <w:rFonts w:hint="eastAsia" w:ascii="新宋体" w:eastAsia="新宋体" w:cs="新宋体"/>
          <w:color w:val="auto"/>
          <w:sz w:val="24"/>
          <w:highlight w:val="none"/>
          <w:lang w:bidi="ar-SA"/>
        </w:rPr>
        <w:br w:type="page"/>
      </w:r>
      <w:bookmarkStart w:id="950" w:name="_Toc329874982"/>
      <w:bookmarkStart w:id="951" w:name="_Toc252894060"/>
      <w:bookmarkStart w:id="952" w:name="_Toc252195337"/>
      <w:bookmarkStart w:id="953" w:name="_Toc252195147"/>
      <w:bookmarkStart w:id="954" w:name="_Toc17459_WPSOffice_Level1"/>
    </w:p>
    <w:p>
      <w:pPr>
        <w:numPr>
          <w:ilvl w:val="0"/>
          <w:numId w:val="3"/>
        </w:numPr>
        <w:jc w:val="center"/>
        <w:rPr>
          <w:rFonts w:hint="eastAsia" w:ascii="新宋体" w:eastAsia="新宋体" w:cs="新宋体"/>
          <w:b/>
          <w:color w:val="auto"/>
          <w:sz w:val="24"/>
          <w:highlight w:val="none"/>
          <w:lang w:bidi="ar-SA"/>
        </w:rPr>
      </w:pPr>
      <w:r>
        <w:rPr>
          <w:rFonts w:hint="eastAsia" w:ascii="新宋体" w:eastAsia="新宋体" w:cs="新宋体"/>
          <w:b/>
          <w:color w:val="auto"/>
          <w:sz w:val="24"/>
          <w:highlight w:val="none"/>
          <w:lang w:bidi="ar-SA"/>
        </w:rPr>
        <w:t>项目管理机构</w:t>
      </w:r>
      <w:bookmarkEnd w:id="950"/>
      <w:bookmarkEnd w:id="951"/>
      <w:bookmarkEnd w:id="952"/>
      <w:bookmarkEnd w:id="953"/>
      <w:bookmarkEnd w:id="954"/>
    </w:p>
    <w:p>
      <w:pPr>
        <w:pStyle w:val="2"/>
        <w:numPr>
          <w:ilvl w:val="0"/>
          <w:numId w:val="0"/>
        </w:numPr>
        <w:rPr>
          <w:rFonts w:hint="eastAsia"/>
          <w:highlight w:val="none"/>
        </w:rPr>
      </w:pPr>
    </w:p>
    <w:p>
      <w:pPr>
        <w:jc w:val="center"/>
        <w:rPr>
          <w:rFonts w:hint="eastAsia" w:ascii="宋体"/>
          <w:b/>
          <w:color w:val="auto"/>
          <w:sz w:val="28"/>
          <w:szCs w:val="28"/>
          <w:highlight w:val="none"/>
        </w:rPr>
      </w:pPr>
      <w:r>
        <w:rPr>
          <w:rFonts w:hint="eastAsia" w:ascii="宋体"/>
          <w:b/>
          <w:color w:val="auto"/>
          <w:sz w:val="28"/>
          <w:szCs w:val="28"/>
          <w:highlight w:val="none"/>
        </w:rPr>
        <w:t>（一）项目管理机构组成表</w:t>
      </w:r>
    </w:p>
    <w:tbl>
      <w:tblPr>
        <w:tblStyle w:val="19"/>
        <w:tblW w:w="95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5"/>
        <w:gridCol w:w="855"/>
        <w:gridCol w:w="856"/>
        <w:gridCol w:w="1521"/>
        <w:gridCol w:w="915"/>
        <w:gridCol w:w="1836"/>
        <w:gridCol w:w="1413"/>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jc w:val="center"/>
        </w:trPr>
        <w:tc>
          <w:tcPr>
            <w:tcW w:w="85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r>
              <w:rPr>
                <w:rFonts w:hint="eastAsia" w:ascii="宋体"/>
                <w:color w:val="auto"/>
                <w:spacing w:val="1"/>
                <w:kern w:val="0"/>
                <w:szCs w:val="21"/>
                <w:highlight w:val="none"/>
              </w:rPr>
              <w:t>职务</w:t>
            </w:r>
          </w:p>
        </w:tc>
        <w:tc>
          <w:tcPr>
            <w:tcW w:w="85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r>
              <w:rPr>
                <w:rFonts w:hint="eastAsia" w:ascii="宋体"/>
                <w:color w:val="auto"/>
                <w:spacing w:val="1"/>
                <w:kern w:val="0"/>
                <w:szCs w:val="21"/>
                <w:highlight w:val="none"/>
              </w:rPr>
              <w:t>姓名</w:t>
            </w:r>
          </w:p>
        </w:tc>
        <w:tc>
          <w:tcPr>
            <w:tcW w:w="856"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r>
              <w:rPr>
                <w:rFonts w:hint="eastAsia" w:ascii="宋体"/>
                <w:color w:val="auto"/>
                <w:spacing w:val="1"/>
                <w:kern w:val="0"/>
                <w:szCs w:val="21"/>
                <w:highlight w:val="none"/>
              </w:rPr>
              <w:t>职称</w:t>
            </w:r>
          </w:p>
        </w:tc>
        <w:tc>
          <w:tcPr>
            <w:tcW w:w="5685"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r>
              <w:rPr>
                <w:rFonts w:hint="eastAsia" w:ascii="宋体"/>
                <w:color w:val="auto"/>
                <w:spacing w:val="1"/>
                <w:kern w:val="0"/>
                <w:szCs w:val="21"/>
                <w:highlight w:val="none"/>
              </w:rPr>
              <w:t>执业或职业资格证明</w:t>
            </w:r>
          </w:p>
        </w:tc>
        <w:tc>
          <w:tcPr>
            <w:tcW w:w="127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r>
              <w:rPr>
                <w:rFonts w:hint="eastAsia" w:ascii="宋体"/>
                <w:color w:val="auto"/>
                <w:spacing w:val="1"/>
                <w:kern w:val="0"/>
                <w:szCs w:val="21"/>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jc w:val="center"/>
        </w:trPr>
        <w:tc>
          <w:tcPr>
            <w:tcW w:w="85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highlight w:val="none"/>
              </w:rPr>
            </w:pPr>
          </w:p>
        </w:tc>
        <w:tc>
          <w:tcPr>
            <w:tcW w:w="85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highlight w:val="none"/>
              </w:rPr>
            </w:pPr>
          </w:p>
        </w:tc>
        <w:tc>
          <w:tcPr>
            <w:tcW w:w="85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rPr>
                <w:color w:val="auto"/>
                <w:highlight w:val="none"/>
              </w:rPr>
            </w:pPr>
          </w:p>
        </w:tc>
        <w:tc>
          <w:tcPr>
            <w:tcW w:w="152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r>
              <w:rPr>
                <w:rFonts w:hint="eastAsia" w:ascii="宋体"/>
                <w:color w:val="auto"/>
                <w:spacing w:val="1"/>
                <w:kern w:val="0"/>
                <w:szCs w:val="21"/>
                <w:highlight w:val="none"/>
              </w:rPr>
              <w:t>证书名称</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r>
              <w:rPr>
                <w:rFonts w:hint="eastAsia" w:ascii="宋体"/>
                <w:color w:val="auto"/>
                <w:spacing w:val="1"/>
                <w:kern w:val="0"/>
                <w:szCs w:val="21"/>
                <w:highlight w:val="none"/>
              </w:rPr>
              <w:t>级别</w:t>
            </w:r>
          </w:p>
        </w:tc>
        <w:tc>
          <w:tcPr>
            <w:tcW w:w="183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49"/>
              <w:ind w:right="97" w:firstLine="59" w:firstLineChars="28"/>
              <w:jc w:val="center"/>
              <w:rPr>
                <w:rFonts w:hint="eastAsia" w:ascii="宋体"/>
                <w:color w:val="auto"/>
                <w:spacing w:val="1"/>
                <w:kern w:val="0"/>
                <w:szCs w:val="21"/>
                <w:highlight w:val="none"/>
              </w:rPr>
            </w:pPr>
            <w:r>
              <w:rPr>
                <w:rFonts w:hint="eastAsia" w:ascii="宋体"/>
                <w:color w:val="auto"/>
                <w:spacing w:val="1"/>
                <w:kern w:val="0"/>
                <w:szCs w:val="21"/>
                <w:highlight w:val="none"/>
              </w:rPr>
              <w:t>证号</w:t>
            </w:r>
          </w:p>
        </w:tc>
        <w:tc>
          <w:tcPr>
            <w:tcW w:w="1413"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r>
              <w:rPr>
                <w:rFonts w:hint="eastAsia" w:ascii="宋体"/>
                <w:color w:val="auto"/>
                <w:spacing w:val="1"/>
                <w:kern w:val="0"/>
                <w:szCs w:val="21"/>
                <w:highlight w:val="none"/>
              </w:rPr>
              <w:t>专业</w:t>
            </w:r>
          </w:p>
        </w:tc>
        <w:tc>
          <w:tcPr>
            <w:tcW w:w="127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jc w:val="center"/>
        </w:trPr>
        <w:tc>
          <w:tcPr>
            <w:tcW w:w="85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85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85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52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83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413"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27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jc w:val="center"/>
        </w:trPr>
        <w:tc>
          <w:tcPr>
            <w:tcW w:w="85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85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85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52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83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413"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27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jc w:val="center"/>
        </w:trPr>
        <w:tc>
          <w:tcPr>
            <w:tcW w:w="85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85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85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52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83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413"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27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jc w:val="center"/>
        </w:trPr>
        <w:tc>
          <w:tcPr>
            <w:tcW w:w="85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85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85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52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83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413"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27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jc w:val="center"/>
        </w:trPr>
        <w:tc>
          <w:tcPr>
            <w:tcW w:w="85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85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85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52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83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413"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27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jc w:val="center"/>
        </w:trPr>
        <w:tc>
          <w:tcPr>
            <w:tcW w:w="85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85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85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52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83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413"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c>
          <w:tcPr>
            <w:tcW w:w="127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0"/>
              <w:ind w:right="97" w:firstLine="59" w:firstLineChars="28"/>
              <w:jc w:val="center"/>
              <w:rPr>
                <w:rFonts w:hint="eastAsia" w:ascii="宋体"/>
                <w:color w:val="auto"/>
                <w:spacing w:val="1"/>
                <w:kern w:val="0"/>
                <w:szCs w:val="21"/>
                <w:highlight w:val="none"/>
              </w:rPr>
            </w:pPr>
          </w:p>
        </w:tc>
      </w:tr>
    </w:tbl>
    <w:p>
      <w:pPr>
        <w:tabs>
          <w:tab w:val="left" w:pos="1170"/>
        </w:tabs>
        <w:ind w:firstLine="420" w:firstLineChars="200"/>
        <w:rPr>
          <w:rFonts w:hint="eastAsia" w:ascii="宋体"/>
          <w:color w:val="auto"/>
          <w:szCs w:val="21"/>
          <w:highlight w:val="none"/>
        </w:rPr>
      </w:pPr>
      <w:r>
        <w:rPr>
          <w:rFonts w:hint="eastAsia" w:ascii="宋体"/>
          <w:color w:val="auto"/>
          <w:szCs w:val="21"/>
          <w:highlight w:val="none"/>
        </w:rPr>
        <w:tab/>
      </w:r>
    </w:p>
    <w:p>
      <w:pPr>
        <w:pStyle w:val="9"/>
        <w:tabs>
          <w:tab w:val="left" w:pos="605"/>
        </w:tabs>
        <w:jc w:val="center"/>
        <w:rPr>
          <w:rFonts w:ascii="宋体" w:hAnsi="宋体"/>
          <w:b w:val="0"/>
          <w:color w:val="auto"/>
          <w:szCs w:val="30"/>
          <w:highlight w:val="none"/>
        </w:rPr>
      </w:pPr>
      <w:bookmarkStart w:id="955" w:name="_Toc252894061"/>
      <w:bookmarkStart w:id="956" w:name="_Toc329874983"/>
      <w:bookmarkStart w:id="957" w:name="_Toc252195148"/>
      <w:bookmarkStart w:id="958" w:name="_Toc252195338"/>
    </w:p>
    <w:p>
      <w:pPr>
        <w:rPr>
          <w:color w:val="auto"/>
          <w:highlight w:val="none"/>
        </w:rPr>
      </w:pPr>
    </w:p>
    <w:p>
      <w:pPr>
        <w:rPr>
          <w:color w:val="auto"/>
          <w:highlight w:val="none"/>
        </w:rPr>
      </w:pPr>
    </w:p>
    <w:p>
      <w:pPr>
        <w:rPr>
          <w:color w:val="auto"/>
          <w:highlight w:val="none"/>
        </w:rPr>
      </w:pPr>
    </w:p>
    <w:p>
      <w:pPr>
        <w:pStyle w:val="9"/>
        <w:tabs>
          <w:tab w:val="left" w:pos="605"/>
        </w:tabs>
        <w:jc w:val="center"/>
        <w:rPr>
          <w:rFonts w:ascii="宋体" w:hAnsi="宋体"/>
          <w:b w:val="0"/>
          <w:color w:val="auto"/>
          <w:szCs w:val="30"/>
          <w:highlight w:val="none"/>
        </w:rPr>
      </w:pPr>
    </w:p>
    <w:p>
      <w:pPr>
        <w:rPr>
          <w:color w:val="auto"/>
          <w:highlight w:val="none"/>
        </w:rPr>
      </w:pPr>
    </w:p>
    <w:p>
      <w:pPr>
        <w:rPr>
          <w:color w:val="auto"/>
          <w:highlight w:val="none"/>
        </w:rPr>
      </w:pPr>
    </w:p>
    <w:p>
      <w:pPr>
        <w:pStyle w:val="9"/>
        <w:tabs>
          <w:tab w:val="left" w:pos="605"/>
        </w:tabs>
        <w:rPr>
          <w:rFonts w:ascii="宋体" w:hAnsi="宋体"/>
          <w:b w:val="0"/>
          <w:color w:val="auto"/>
          <w:szCs w:val="30"/>
          <w:highlight w:val="none"/>
        </w:rPr>
      </w:pPr>
    </w:p>
    <w:p>
      <w:pPr>
        <w:rPr>
          <w:color w:val="auto"/>
          <w:highlight w:val="none"/>
        </w:rPr>
      </w:pPr>
    </w:p>
    <w:p>
      <w:pPr>
        <w:rPr>
          <w:color w:val="auto"/>
          <w:highlight w:val="none"/>
        </w:rPr>
      </w:pPr>
    </w:p>
    <w:bookmarkEnd w:id="955"/>
    <w:bookmarkEnd w:id="956"/>
    <w:bookmarkEnd w:id="957"/>
    <w:bookmarkEnd w:id="958"/>
    <w:p>
      <w:pPr>
        <w:rPr>
          <w:rFonts w:hint="eastAsia" w:ascii="宋体"/>
          <w:b/>
          <w:color w:val="auto"/>
          <w:highlight w:val="none"/>
        </w:rPr>
      </w:pPr>
      <w:r>
        <w:rPr>
          <w:rFonts w:hint="eastAsia" w:ascii="宋体"/>
          <w:b/>
          <w:color w:val="auto"/>
          <w:highlight w:val="none"/>
        </w:rPr>
        <w:br w:type="page"/>
      </w:r>
    </w:p>
    <w:p>
      <w:pPr>
        <w:spacing w:line="480" w:lineRule="auto"/>
        <w:jc w:val="center"/>
        <w:rPr>
          <w:rFonts w:hint="eastAsia" w:ascii="宋体"/>
          <w:b/>
          <w:color w:val="auto"/>
          <w:highlight w:val="none"/>
        </w:rPr>
      </w:pPr>
      <w:r>
        <w:rPr>
          <w:rFonts w:hint="eastAsia" w:ascii="宋体"/>
          <w:b/>
          <w:color w:val="auto"/>
          <w:sz w:val="28"/>
          <w:szCs w:val="28"/>
          <w:highlight w:val="none"/>
        </w:rPr>
        <w:t>（二）主要人员简历表</w:t>
      </w:r>
    </w:p>
    <w:p>
      <w:pPr>
        <w:spacing w:line="480" w:lineRule="auto"/>
        <w:ind w:firstLine="420" w:firstLineChars="200"/>
        <w:rPr>
          <w:rFonts w:hint="eastAsia" w:ascii="宋体" w:eastAsia="宋体"/>
          <w:color w:val="auto"/>
          <w:kern w:val="0"/>
          <w:highlight w:val="none"/>
          <w:lang w:eastAsia="zh-CN"/>
        </w:rPr>
      </w:pPr>
      <w:r>
        <w:rPr>
          <w:rFonts w:hint="eastAsia" w:ascii="宋体"/>
          <w:color w:val="auto"/>
          <w:highlight w:val="none"/>
        </w:rPr>
        <w:t>“项目</w:t>
      </w:r>
      <w:r>
        <w:rPr>
          <w:rFonts w:hint="eastAsia" w:ascii="宋体"/>
          <w:color w:val="auto"/>
          <w:highlight w:val="none"/>
          <w:lang w:val="en-US" w:eastAsia="zh-CN"/>
        </w:rPr>
        <w:t>经理</w:t>
      </w:r>
      <w:r>
        <w:rPr>
          <w:rFonts w:hint="eastAsia" w:ascii="宋体"/>
          <w:color w:val="auto"/>
          <w:highlight w:val="none"/>
        </w:rPr>
        <w:t>简历表”中应附</w:t>
      </w:r>
      <w:r>
        <w:rPr>
          <w:rFonts w:hint="eastAsia" w:ascii="宋体" w:hAnsi="宋体" w:eastAsia="宋体" w:cs="宋体"/>
          <w:color w:val="auto"/>
          <w:sz w:val="21"/>
          <w:szCs w:val="21"/>
          <w:highlight w:val="none"/>
        </w:rPr>
        <w:t>中级及以上技术职称</w:t>
      </w:r>
      <w:r>
        <w:rPr>
          <w:rFonts w:hint="eastAsia" w:ascii="宋体"/>
          <w:color w:val="auto"/>
          <w:highlight w:val="none"/>
        </w:rPr>
        <w:t>证、及项</w:t>
      </w:r>
      <w:r>
        <w:rPr>
          <w:rFonts w:hint="eastAsia" w:ascii="宋体" w:cs="宋体"/>
          <w:color w:val="auto"/>
          <w:szCs w:val="21"/>
          <w:highlight w:val="none"/>
          <w:lang w:bidi="ar-SA"/>
        </w:rPr>
        <w:t>目</w:t>
      </w:r>
      <w:r>
        <w:rPr>
          <w:rFonts w:hint="eastAsia" w:ascii="宋体" w:cs="宋体"/>
          <w:color w:val="auto"/>
          <w:szCs w:val="21"/>
          <w:highlight w:val="none"/>
          <w:lang w:val="en-US" w:eastAsia="zh-CN" w:bidi="ar-SA"/>
        </w:rPr>
        <w:t>经理</w:t>
      </w:r>
      <w:r>
        <w:rPr>
          <w:rFonts w:hint="eastAsia" w:ascii="宋体"/>
          <w:color w:val="auto"/>
          <w:highlight w:val="none"/>
        </w:rPr>
        <w:t>无在建工程</w:t>
      </w:r>
      <w:r>
        <w:rPr>
          <w:rFonts w:hint="eastAsia" w:ascii="宋体"/>
          <w:color w:val="auto"/>
          <w:highlight w:val="none"/>
          <w:lang w:eastAsia="zh-CN"/>
        </w:rPr>
        <w:t>。</w:t>
      </w:r>
    </w:p>
    <w:tbl>
      <w:tblPr>
        <w:tblStyle w:val="19"/>
        <w:tblW w:w="88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77"/>
        <w:gridCol w:w="408"/>
        <w:gridCol w:w="815"/>
        <w:gridCol w:w="1049"/>
        <w:gridCol w:w="1207"/>
        <w:gridCol w:w="592"/>
        <w:gridCol w:w="1440"/>
        <w:gridCol w:w="380"/>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1177"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r>
              <w:rPr>
                <w:rFonts w:hint="eastAsia" w:ascii="宋体"/>
                <w:color w:val="auto"/>
                <w:spacing w:val="1"/>
                <w:kern w:val="0"/>
                <w:highlight w:val="none"/>
              </w:rPr>
              <w:t>姓</w:t>
            </w:r>
            <w:r>
              <w:rPr>
                <w:rFonts w:hint="eastAsia" w:ascii="宋体"/>
                <w:color w:val="auto"/>
                <w:spacing w:val="1"/>
                <w:kern w:val="0"/>
                <w:highlight w:val="none"/>
              </w:rPr>
              <w:tab/>
            </w:r>
            <w:r>
              <w:rPr>
                <w:rFonts w:hint="eastAsia" w:ascii="宋体"/>
                <w:color w:val="auto"/>
                <w:spacing w:val="1"/>
                <w:kern w:val="0"/>
                <w:highlight w:val="none"/>
              </w:rPr>
              <w:t>名</w:t>
            </w:r>
          </w:p>
        </w:tc>
        <w:tc>
          <w:tcPr>
            <w:tcW w:w="122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c>
          <w:tcPr>
            <w:tcW w:w="104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r>
              <w:rPr>
                <w:rFonts w:hint="eastAsia" w:ascii="宋体"/>
                <w:color w:val="auto"/>
                <w:spacing w:val="1"/>
                <w:kern w:val="0"/>
                <w:highlight w:val="none"/>
              </w:rPr>
              <w:t>年  龄</w:t>
            </w:r>
          </w:p>
        </w:tc>
        <w:tc>
          <w:tcPr>
            <w:tcW w:w="1207"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c>
          <w:tcPr>
            <w:tcW w:w="241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r>
              <w:rPr>
                <w:rFonts w:hint="eastAsia" w:ascii="宋体"/>
                <w:color w:val="auto"/>
                <w:spacing w:val="1"/>
                <w:kern w:val="0"/>
                <w:highlight w:val="none"/>
              </w:rPr>
              <w:t>学历</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1177"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r>
              <w:rPr>
                <w:rFonts w:hint="eastAsia" w:ascii="宋体"/>
                <w:color w:val="auto"/>
                <w:spacing w:val="1"/>
                <w:kern w:val="0"/>
                <w:highlight w:val="none"/>
              </w:rPr>
              <w:t>职</w:t>
            </w:r>
            <w:r>
              <w:rPr>
                <w:rFonts w:hint="eastAsia" w:ascii="宋体"/>
                <w:color w:val="auto"/>
                <w:spacing w:val="1"/>
                <w:kern w:val="0"/>
                <w:highlight w:val="none"/>
              </w:rPr>
              <w:tab/>
            </w:r>
            <w:r>
              <w:rPr>
                <w:rFonts w:hint="eastAsia" w:ascii="宋体"/>
                <w:color w:val="auto"/>
                <w:spacing w:val="1"/>
                <w:kern w:val="0"/>
                <w:highlight w:val="none"/>
              </w:rPr>
              <w:t>称</w:t>
            </w:r>
          </w:p>
        </w:tc>
        <w:tc>
          <w:tcPr>
            <w:tcW w:w="122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c>
          <w:tcPr>
            <w:tcW w:w="104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r>
              <w:rPr>
                <w:rFonts w:hint="eastAsia" w:ascii="宋体"/>
                <w:color w:val="auto"/>
                <w:spacing w:val="1"/>
                <w:kern w:val="0"/>
                <w:highlight w:val="none"/>
              </w:rPr>
              <w:t>职  务</w:t>
            </w:r>
          </w:p>
        </w:tc>
        <w:tc>
          <w:tcPr>
            <w:tcW w:w="1207"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c>
          <w:tcPr>
            <w:tcW w:w="241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r>
              <w:rPr>
                <w:rFonts w:hint="eastAsia" w:ascii="宋体"/>
                <w:color w:val="auto"/>
                <w:spacing w:val="1"/>
                <w:kern w:val="0"/>
                <w:highlight w:val="none"/>
              </w:rPr>
              <w:t>拟在本合同任职</w:t>
            </w:r>
          </w:p>
        </w:tc>
        <w:tc>
          <w:tcPr>
            <w:tcW w:w="178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1177"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r>
              <w:rPr>
                <w:rFonts w:hint="eastAsia" w:ascii="宋体"/>
                <w:color w:val="auto"/>
                <w:spacing w:val="1"/>
                <w:kern w:val="0"/>
                <w:highlight w:val="none"/>
              </w:rPr>
              <w:t>毕业学校</w:t>
            </w:r>
          </w:p>
        </w:tc>
        <w:tc>
          <w:tcPr>
            <w:tcW w:w="7671" w:type="dxa"/>
            <w:gridSpan w:val="8"/>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2820"/>
                <w:tab w:val="left" w:pos="4080"/>
              </w:tabs>
              <w:autoSpaceDE w:val="0"/>
              <w:autoSpaceDN w:val="0"/>
              <w:adjustRightInd w:val="0"/>
              <w:ind w:right="97" w:firstLine="1113" w:firstLineChars="525"/>
              <w:rPr>
                <w:rFonts w:hint="eastAsia" w:ascii="宋体"/>
                <w:color w:val="auto"/>
                <w:spacing w:val="1"/>
                <w:kern w:val="0"/>
                <w:highlight w:val="none"/>
              </w:rPr>
            </w:pPr>
            <w:r>
              <w:rPr>
                <w:rFonts w:hint="eastAsia" w:ascii="宋体"/>
                <w:color w:val="auto"/>
                <w:spacing w:val="1"/>
                <w:kern w:val="0"/>
                <w:highlight w:val="none"/>
              </w:rPr>
              <w:t>年毕业于                    学校          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7" w:hRule="atLeast"/>
          <w:jc w:val="center"/>
        </w:trPr>
        <w:tc>
          <w:tcPr>
            <w:tcW w:w="8848" w:type="dxa"/>
            <w:gridSpan w:val="9"/>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r>
              <w:rPr>
                <w:rFonts w:hint="eastAsia" w:ascii="宋体"/>
                <w:color w:val="auto"/>
                <w:spacing w:val="1"/>
                <w:kern w:val="0"/>
                <w:highlight w:val="none"/>
              </w:rPr>
              <w:t>主要工作经历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15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r>
              <w:rPr>
                <w:rFonts w:hint="eastAsia" w:ascii="宋体"/>
                <w:color w:val="auto"/>
                <w:spacing w:val="1"/>
                <w:kern w:val="0"/>
                <w:highlight w:val="none"/>
              </w:rPr>
              <w:t>时</w:t>
            </w:r>
            <w:r>
              <w:rPr>
                <w:rFonts w:hint="eastAsia" w:ascii="宋体"/>
                <w:color w:val="auto"/>
                <w:spacing w:val="1"/>
                <w:kern w:val="0"/>
                <w:highlight w:val="none"/>
              </w:rPr>
              <w:tab/>
            </w:r>
            <w:r>
              <w:rPr>
                <w:rFonts w:hint="eastAsia" w:ascii="宋体"/>
                <w:color w:val="auto"/>
                <w:spacing w:val="1"/>
                <w:kern w:val="0"/>
                <w:highlight w:val="none"/>
              </w:rPr>
              <w:t>间</w:t>
            </w:r>
          </w:p>
        </w:tc>
        <w:tc>
          <w:tcPr>
            <w:tcW w:w="366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r>
              <w:rPr>
                <w:rFonts w:hint="eastAsia" w:ascii="宋体"/>
                <w:color w:val="auto"/>
                <w:spacing w:val="1"/>
                <w:kern w:val="0"/>
                <w:highlight w:val="none"/>
              </w:rPr>
              <w:t>参加过的类似项目</w:t>
            </w:r>
          </w:p>
        </w:tc>
        <w:tc>
          <w:tcPr>
            <w:tcW w:w="144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r>
              <w:rPr>
                <w:rFonts w:hint="eastAsia" w:ascii="宋体"/>
                <w:color w:val="auto"/>
                <w:spacing w:val="1"/>
                <w:kern w:val="0"/>
                <w:highlight w:val="none"/>
              </w:rPr>
              <w:t>担任职务</w:t>
            </w:r>
          </w:p>
        </w:tc>
        <w:tc>
          <w:tcPr>
            <w:tcW w:w="216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r>
              <w:rPr>
                <w:rFonts w:hint="eastAsia" w:ascii="宋体"/>
                <w:color w:val="auto"/>
                <w:spacing w:val="1"/>
                <w:kern w:val="0"/>
                <w:highlight w:val="none"/>
              </w:rPr>
              <w:t>发包人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15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c>
          <w:tcPr>
            <w:tcW w:w="366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c>
          <w:tcPr>
            <w:tcW w:w="144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c>
          <w:tcPr>
            <w:tcW w:w="216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15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c>
          <w:tcPr>
            <w:tcW w:w="366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c>
          <w:tcPr>
            <w:tcW w:w="144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c>
          <w:tcPr>
            <w:tcW w:w="216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15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c>
          <w:tcPr>
            <w:tcW w:w="366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c>
          <w:tcPr>
            <w:tcW w:w="144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c>
          <w:tcPr>
            <w:tcW w:w="216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97" w:firstLine="59" w:firstLineChars="28"/>
              <w:jc w:val="center"/>
              <w:rPr>
                <w:rFonts w:hint="eastAsia" w:ascii="宋体"/>
                <w:color w:val="auto"/>
                <w:spacing w:val="1"/>
                <w:kern w:val="0"/>
                <w:highlight w:val="none"/>
              </w:rPr>
            </w:pPr>
          </w:p>
        </w:tc>
      </w:tr>
    </w:tbl>
    <w:p>
      <w:pPr>
        <w:autoSpaceDE w:val="0"/>
        <w:autoSpaceDN w:val="0"/>
        <w:adjustRightInd w:val="0"/>
        <w:spacing w:line="420" w:lineRule="exact"/>
        <w:ind w:left="420"/>
        <w:jc w:val="center"/>
        <w:rPr>
          <w:rFonts w:hint="eastAsia" w:ascii="宋体" w:cs="黑体"/>
          <w:b/>
          <w:color w:val="auto"/>
          <w:kern w:val="0"/>
          <w:sz w:val="24"/>
          <w:highlight w:val="none"/>
          <w:lang w:bidi="ar-SA"/>
        </w:rPr>
      </w:pPr>
    </w:p>
    <w:p>
      <w:pPr>
        <w:autoSpaceDE w:val="0"/>
        <w:autoSpaceDN w:val="0"/>
        <w:adjustRightInd w:val="0"/>
        <w:spacing w:line="420" w:lineRule="exact"/>
        <w:ind w:left="420"/>
        <w:jc w:val="center"/>
        <w:rPr>
          <w:rFonts w:hint="eastAsia" w:ascii="宋体" w:cs="黑体"/>
          <w:b/>
          <w:color w:val="auto"/>
          <w:kern w:val="0"/>
          <w:sz w:val="24"/>
          <w:highlight w:val="none"/>
          <w:lang w:bidi="ar-SA"/>
        </w:rPr>
      </w:pPr>
    </w:p>
    <w:p>
      <w:pPr>
        <w:autoSpaceDE w:val="0"/>
        <w:autoSpaceDN w:val="0"/>
        <w:adjustRightInd w:val="0"/>
        <w:spacing w:line="420" w:lineRule="exact"/>
        <w:ind w:left="420"/>
        <w:jc w:val="center"/>
        <w:rPr>
          <w:rFonts w:hint="eastAsia" w:ascii="宋体" w:cs="黑体"/>
          <w:b/>
          <w:color w:val="auto"/>
          <w:kern w:val="0"/>
          <w:sz w:val="24"/>
          <w:highlight w:val="none"/>
          <w:lang w:bidi="ar-SA"/>
        </w:rPr>
      </w:pPr>
    </w:p>
    <w:p>
      <w:pPr>
        <w:autoSpaceDE w:val="0"/>
        <w:autoSpaceDN w:val="0"/>
        <w:adjustRightInd w:val="0"/>
        <w:spacing w:line="420" w:lineRule="exact"/>
        <w:ind w:left="420"/>
        <w:jc w:val="center"/>
        <w:rPr>
          <w:rFonts w:hint="eastAsia" w:ascii="宋体" w:cs="黑体"/>
          <w:b/>
          <w:color w:val="auto"/>
          <w:kern w:val="0"/>
          <w:sz w:val="24"/>
          <w:highlight w:val="none"/>
          <w:lang w:bidi="ar-SA"/>
        </w:rPr>
      </w:pPr>
    </w:p>
    <w:p>
      <w:pPr>
        <w:autoSpaceDE w:val="0"/>
        <w:autoSpaceDN w:val="0"/>
        <w:adjustRightInd w:val="0"/>
        <w:spacing w:line="420" w:lineRule="exact"/>
        <w:ind w:left="420"/>
        <w:jc w:val="center"/>
        <w:rPr>
          <w:rFonts w:hint="eastAsia" w:ascii="宋体" w:cs="黑体"/>
          <w:b/>
          <w:color w:val="auto"/>
          <w:kern w:val="0"/>
          <w:sz w:val="24"/>
          <w:highlight w:val="none"/>
          <w:lang w:bidi="ar-SA"/>
        </w:rPr>
      </w:pPr>
    </w:p>
    <w:p>
      <w:pPr>
        <w:autoSpaceDE w:val="0"/>
        <w:autoSpaceDN w:val="0"/>
        <w:adjustRightInd w:val="0"/>
        <w:spacing w:line="420" w:lineRule="exact"/>
        <w:ind w:left="420"/>
        <w:jc w:val="center"/>
        <w:rPr>
          <w:rFonts w:hint="eastAsia" w:ascii="宋体" w:cs="黑体"/>
          <w:b/>
          <w:color w:val="auto"/>
          <w:kern w:val="0"/>
          <w:sz w:val="24"/>
          <w:highlight w:val="none"/>
          <w:lang w:bidi="ar-SA"/>
        </w:rPr>
      </w:pPr>
    </w:p>
    <w:p>
      <w:pPr>
        <w:autoSpaceDE w:val="0"/>
        <w:autoSpaceDN w:val="0"/>
        <w:adjustRightInd w:val="0"/>
        <w:spacing w:line="420" w:lineRule="exact"/>
        <w:ind w:left="420"/>
        <w:jc w:val="center"/>
        <w:rPr>
          <w:rFonts w:hint="eastAsia" w:ascii="宋体" w:cs="黑体"/>
          <w:b/>
          <w:color w:val="auto"/>
          <w:kern w:val="0"/>
          <w:sz w:val="24"/>
          <w:highlight w:val="none"/>
          <w:lang w:bidi="ar-SA"/>
        </w:rPr>
      </w:pPr>
    </w:p>
    <w:p>
      <w:pPr>
        <w:autoSpaceDE w:val="0"/>
        <w:autoSpaceDN w:val="0"/>
        <w:adjustRightInd w:val="0"/>
        <w:spacing w:line="420" w:lineRule="exact"/>
        <w:ind w:left="420"/>
        <w:jc w:val="center"/>
        <w:rPr>
          <w:rFonts w:hint="eastAsia" w:ascii="宋体" w:cs="黑体"/>
          <w:b/>
          <w:color w:val="auto"/>
          <w:kern w:val="0"/>
          <w:sz w:val="24"/>
          <w:highlight w:val="none"/>
          <w:lang w:bidi="ar-SA"/>
        </w:rPr>
      </w:pPr>
    </w:p>
    <w:p>
      <w:pPr>
        <w:autoSpaceDE w:val="0"/>
        <w:autoSpaceDN w:val="0"/>
        <w:adjustRightInd w:val="0"/>
        <w:spacing w:line="420" w:lineRule="exact"/>
        <w:ind w:left="420"/>
        <w:jc w:val="center"/>
        <w:rPr>
          <w:rFonts w:hint="eastAsia" w:ascii="宋体" w:cs="黑体"/>
          <w:b/>
          <w:color w:val="auto"/>
          <w:kern w:val="0"/>
          <w:sz w:val="24"/>
          <w:highlight w:val="none"/>
          <w:lang w:bidi="ar-SA"/>
        </w:rPr>
      </w:pPr>
    </w:p>
    <w:p>
      <w:pPr>
        <w:autoSpaceDE w:val="0"/>
        <w:autoSpaceDN w:val="0"/>
        <w:adjustRightInd w:val="0"/>
        <w:spacing w:line="420" w:lineRule="exact"/>
        <w:ind w:left="420"/>
        <w:jc w:val="center"/>
        <w:rPr>
          <w:rFonts w:hint="eastAsia" w:ascii="宋体" w:cs="黑体"/>
          <w:b/>
          <w:color w:val="auto"/>
          <w:kern w:val="0"/>
          <w:sz w:val="24"/>
          <w:highlight w:val="none"/>
          <w:lang w:bidi="ar-SA"/>
        </w:rPr>
      </w:pPr>
    </w:p>
    <w:p>
      <w:pPr>
        <w:autoSpaceDE w:val="0"/>
        <w:autoSpaceDN w:val="0"/>
        <w:adjustRightInd w:val="0"/>
        <w:spacing w:line="420" w:lineRule="exact"/>
        <w:ind w:left="420"/>
        <w:jc w:val="center"/>
        <w:rPr>
          <w:rFonts w:hint="eastAsia" w:ascii="宋体" w:cs="黑体"/>
          <w:b/>
          <w:color w:val="auto"/>
          <w:kern w:val="0"/>
          <w:sz w:val="24"/>
          <w:highlight w:val="none"/>
          <w:lang w:bidi="ar-SA"/>
        </w:rPr>
      </w:pPr>
    </w:p>
    <w:p>
      <w:pPr>
        <w:autoSpaceDE w:val="0"/>
        <w:autoSpaceDN w:val="0"/>
        <w:adjustRightInd w:val="0"/>
        <w:spacing w:line="420" w:lineRule="exact"/>
        <w:ind w:left="420"/>
        <w:jc w:val="center"/>
        <w:rPr>
          <w:rFonts w:hint="eastAsia" w:ascii="宋体" w:cs="黑体"/>
          <w:b/>
          <w:color w:val="auto"/>
          <w:kern w:val="0"/>
          <w:sz w:val="24"/>
          <w:highlight w:val="none"/>
          <w:lang w:bidi="ar-SA"/>
        </w:rPr>
      </w:pPr>
    </w:p>
    <w:p>
      <w:pPr>
        <w:autoSpaceDE w:val="0"/>
        <w:autoSpaceDN w:val="0"/>
        <w:adjustRightInd w:val="0"/>
        <w:spacing w:line="420" w:lineRule="exact"/>
        <w:ind w:left="420"/>
        <w:jc w:val="center"/>
        <w:rPr>
          <w:rFonts w:hint="eastAsia" w:ascii="宋体" w:cs="黑体"/>
          <w:b/>
          <w:color w:val="auto"/>
          <w:kern w:val="0"/>
          <w:sz w:val="24"/>
          <w:highlight w:val="none"/>
          <w:lang w:bidi="ar-SA"/>
        </w:rPr>
      </w:pPr>
    </w:p>
    <w:p>
      <w:pPr>
        <w:autoSpaceDE w:val="0"/>
        <w:autoSpaceDN w:val="0"/>
        <w:adjustRightInd w:val="0"/>
        <w:spacing w:line="420" w:lineRule="exact"/>
        <w:ind w:left="420"/>
        <w:jc w:val="center"/>
        <w:rPr>
          <w:rFonts w:hint="eastAsia" w:ascii="宋体" w:cs="黑体"/>
          <w:b/>
          <w:color w:val="auto"/>
          <w:kern w:val="0"/>
          <w:sz w:val="24"/>
          <w:highlight w:val="none"/>
          <w:lang w:bidi="ar-SA"/>
        </w:rPr>
      </w:pPr>
    </w:p>
    <w:p>
      <w:pPr>
        <w:autoSpaceDE w:val="0"/>
        <w:autoSpaceDN w:val="0"/>
        <w:adjustRightInd w:val="0"/>
        <w:spacing w:line="420" w:lineRule="exact"/>
        <w:ind w:left="420"/>
        <w:jc w:val="center"/>
        <w:rPr>
          <w:rFonts w:hint="eastAsia" w:ascii="宋体" w:cs="黑体"/>
          <w:b/>
          <w:color w:val="auto"/>
          <w:kern w:val="0"/>
          <w:sz w:val="24"/>
          <w:highlight w:val="none"/>
          <w:lang w:bidi="ar-SA"/>
        </w:rPr>
      </w:pPr>
    </w:p>
    <w:p>
      <w:pPr>
        <w:autoSpaceDE w:val="0"/>
        <w:autoSpaceDN w:val="0"/>
        <w:adjustRightInd w:val="0"/>
        <w:spacing w:line="420" w:lineRule="exact"/>
        <w:ind w:left="420"/>
        <w:jc w:val="center"/>
        <w:rPr>
          <w:rFonts w:hint="eastAsia" w:ascii="宋体" w:cs="黑体"/>
          <w:b/>
          <w:color w:val="auto"/>
          <w:kern w:val="0"/>
          <w:sz w:val="24"/>
          <w:highlight w:val="none"/>
          <w:lang w:bidi="ar-SA"/>
        </w:rPr>
      </w:pPr>
    </w:p>
    <w:p>
      <w:pPr>
        <w:autoSpaceDE w:val="0"/>
        <w:autoSpaceDN w:val="0"/>
        <w:adjustRightInd w:val="0"/>
        <w:spacing w:line="420" w:lineRule="exact"/>
        <w:ind w:left="420"/>
        <w:jc w:val="center"/>
        <w:rPr>
          <w:rFonts w:hint="eastAsia" w:ascii="宋体" w:cs="黑体"/>
          <w:b/>
          <w:color w:val="auto"/>
          <w:kern w:val="0"/>
          <w:sz w:val="24"/>
          <w:highlight w:val="none"/>
          <w:lang w:bidi="ar-SA"/>
        </w:rPr>
      </w:pPr>
    </w:p>
    <w:p>
      <w:pPr>
        <w:rPr>
          <w:rFonts w:hint="eastAsia" w:ascii="宋体"/>
          <w:b/>
          <w:color w:val="auto"/>
          <w:sz w:val="24"/>
          <w:szCs w:val="21"/>
          <w:highlight w:val="none"/>
        </w:rPr>
      </w:pPr>
    </w:p>
    <w:p>
      <w:pPr>
        <w:rPr>
          <w:rFonts w:hint="eastAsia" w:ascii="宋体"/>
          <w:b/>
          <w:color w:val="auto"/>
          <w:sz w:val="32"/>
          <w:highlight w:val="none"/>
        </w:rPr>
      </w:pPr>
      <w:r>
        <w:rPr>
          <w:rFonts w:hint="eastAsia" w:ascii="宋体"/>
          <w:b/>
          <w:color w:val="auto"/>
          <w:sz w:val="32"/>
          <w:highlight w:val="none"/>
        </w:rPr>
        <w:t>附件1</w:t>
      </w:r>
    </w:p>
    <w:p>
      <w:pPr>
        <w:jc w:val="center"/>
        <w:rPr>
          <w:rFonts w:hint="eastAsia" w:ascii="宋体"/>
          <w:b/>
          <w:color w:val="auto"/>
          <w:sz w:val="32"/>
          <w:szCs w:val="28"/>
          <w:highlight w:val="none"/>
        </w:rPr>
      </w:pPr>
      <w:r>
        <w:rPr>
          <w:rFonts w:hint="eastAsia" w:ascii="宋体"/>
          <w:b/>
          <w:color w:val="auto"/>
          <w:sz w:val="32"/>
          <w:highlight w:val="none"/>
          <w:lang w:eastAsia="zh-CN"/>
        </w:rPr>
        <w:t>项目经理</w:t>
      </w:r>
      <w:r>
        <w:rPr>
          <w:rFonts w:hint="eastAsia" w:ascii="宋体"/>
          <w:b/>
          <w:color w:val="auto"/>
          <w:sz w:val="32"/>
          <w:highlight w:val="none"/>
        </w:rPr>
        <w:t>无在建工程</w:t>
      </w:r>
      <w:r>
        <w:rPr>
          <w:rFonts w:hint="eastAsia" w:ascii="宋体"/>
          <w:b/>
          <w:color w:val="auto"/>
          <w:sz w:val="32"/>
          <w:szCs w:val="28"/>
          <w:highlight w:val="none"/>
        </w:rPr>
        <w:t>承诺书</w:t>
      </w:r>
    </w:p>
    <w:p>
      <w:pPr>
        <w:spacing w:line="480" w:lineRule="auto"/>
        <w:rPr>
          <w:rFonts w:hint="eastAsia" w:ascii="宋体"/>
          <w:color w:val="auto"/>
          <w:szCs w:val="21"/>
          <w:highlight w:val="none"/>
          <w:u w:val="single"/>
        </w:rPr>
      </w:pPr>
    </w:p>
    <w:p>
      <w:pPr>
        <w:spacing w:line="480" w:lineRule="auto"/>
        <w:rPr>
          <w:rFonts w:hint="eastAsia" w:ascii="宋体"/>
          <w:color w:val="auto"/>
          <w:szCs w:val="21"/>
          <w:highlight w:val="none"/>
        </w:rPr>
      </w:pPr>
      <w:r>
        <w:rPr>
          <w:rFonts w:hint="eastAsia" w:ascii="宋体"/>
          <w:color w:val="auto"/>
          <w:szCs w:val="21"/>
          <w:highlight w:val="none"/>
          <w:u w:val="single"/>
        </w:rPr>
        <w:t xml:space="preserve">                     </w:t>
      </w:r>
      <w:r>
        <w:rPr>
          <w:rFonts w:hint="eastAsia" w:ascii="宋体"/>
          <w:color w:val="auto"/>
          <w:szCs w:val="21"/>
          <w:highlight w:val="none"/>
        </w:rPr>
        <w:t>（招标人名称）：</w:t>
      </w:r>
    </w:p>
    <w:p>
      <w:pPr>
        <w:spacing w:line="480" w:lineRule="auto"/>
        <w:ind w:firstLine="630" w:firstLineChars="300"/>
        <w:rPr>
          <w:rFonts w:hint="eastAsia" w:ascii="宋体"/>
          <w:color w:val="auto"/>
          <w:szCs w:val="21"/>
          <w:highlight w:val="none"/>
        </w:rPr>
      </w:pPr>
      <w:r>
        <w:rPr>
          <w:rFonts w:hint="eastAsia" w:ascii="宋体"/>
          <w:color w:val="auto"/>
          <w:szCs w:val="21"/>
          <w:highlight w:val="none"/>
        </w:rPr>
        <w:t>我方在此声明，我方拟派往</w:t>
      </w:r>
      <w:r>
        <w:rPr>
          <w:rFonts w:hint="eastAsia" w:ascii="宋体"/>
          <w:color w:val="auto"/>
          <w:szCs w:val="21"/>
          <w:highlight w:val="none"/>
          <w:u w:val="single"/>
        </w:rPr>
        <w:t xml:space="preserve">     </w:t>
      </w:r>
      <w:r>
        <w:rPr>
          <w:rFonts w:hint="eastAsia" w:ascii="宋体"/>
          <w:color w:val="auto"/>
          <w:szCs w:val="21"/>
          <w:highlight w:val="none"/>
        </w:rPr>
        <w:t>（项目名称）</w:t>
      </w:r>
      <w:r>
        <w:rPr>
          <w:rFonts w:hint="eastAsia" w:ascii="宋体"/>
          <w:color w:val="auto"/>
          <w:szCs w:val="21"/>
          <w:highlight w:val="none"/>
          <w:u w:val="single"/>
        </w:rPr>
        <w:t xml:space="preserve">    </w:t>
      </w:r>
      <w:r>
        <w:rPr>
          <w:rFonts w:hint="eastAsia" w:ascii="宋体"/>
          <w:color w:val="auto"/>
          <w:szCs w:val="21"/>
          <w:highlight w:val="none"/>
        </w:rPr>
        <w:t>（标段）（以下简称“本工程”）的</w:t>
      </w:r>
      <w:r>
        <w:rPr>
          <w:rFonts w:hint="eastAsia" w:ascii="宋体"/>
          <w:color w:val="auto"/>
          <w:szCs w:val="21"/>
          <w:highlight w:val="none"/>
          <w:lang w:eastAsia="zh-CN"/>
        </w:rPr>
        <w:t>项目经理</w:t>
      </w:r>
      <w:r>
        <w:rPr>
          <w:rFonts w:hint="eastAsia" w:ascii="宋体"/>
          <w:color w:val="auto"/>
          <w:szCs w:val="21"/>
          <w:highlight w:val="none"/>
          <w:u w:val="single"/>
        </w:rPr>
        <w:t xml:space="preserve">            </w:t>
      </w:r>
      <w:r>
        <w:rPr>
          <w:rFonts w:hint="eastAsia" w:ascii="宋体"/>
          <w:color w:val="auto"/>
          <w:szCs w:val="21"/>
          <w:highlight w:val="none"/>
        </w:rPr>
        <w:t>（</w:t>
      </w:r>
      <w:r>
        <w:rPr>
          <w:rFonts w:hint="eastAsia" w:ascii="宋体"/>
          <w:color w:val="auto"/>
          <w:szCs w:val="21"/>
          <w:highlight w:val="none"/>
          <w:lang w:eastAsia="zh-CN"/>
        </w:rPr>
        <w:t>项目经理</w:t>
      </w:r>
      <w:r>
        <w:rPr>
          <w:rFonts w:hint="eastAsia" w:ascii="宋体"/>
          <w:color w:val="auto"/>
          <w:szCs w:val="21"/>
          <w:highlight w:val="none"/>
        </w:rPr>
        <w:t>姓名）在该项目投标截止时间前没有担任任何在建工程项目的</w:t>
      </w:r>
      <w:r>
        <w:rPr>
          <w:rFonts w:hint="eastAsia" w:ascii="宋体"/>
          <w:color w:val="auto"/>
          <w:szCs w:val="21"/>
          <w:highlight w:val="none"/>
          <w:lang w:eastAsia="zh-CN"/>
        </w:rPr>
        <w:t>项目经理</w:t>
      </w:r>
      <w:r>
        <w:rPr>
          <w:rFonts w:hint="eastAsia" w:ascii="宋体"/>
          <w:color w:val="auto"/>
          <w:szCs w:val="21"/>
          <w:highlight w:val="none"/>
        </w:rPr>
        <w:t>。</w:t>
      </w:r>
    </w:p>
    <w:p>
      <w:pPr>
        <w:spacing w:line="480" w:lineRule="auto"/>
        <w:ind w:firstLine="630" w:firstLineChars="300"/>
        <w:rPr>
          <w:rFonts w:hint="eastAsia" w:ascii="宋体"/>
          <w:color w:val="auto"/>
          <w:szCs w:val="21"/>
          <w:highlight w:val="none"/>
        </w:rPr>
      </w:pPr>
      <w:r>
        <w:rPr>
          <w:rFonts w:hint="eastAsia" w:ascii="宋体"/>
          <w:color w:val="auto"/>
          <w:szCs w:val="21"/>
          <w:highlight w:val="none"/>
        </w:rPr>
        <w:t>我方保证上述信息的真实和准确，并愿意承担因我方就此弄虚作假所引起的一切法律后果。</w:t>
      </w:r>
    </w:p>
    <w:p>
      <w:pPr>
        <w:spacing w:line="480" w:lineRule="auto"/>
        <w:ind w:firstLine="420" w:firstLineChars="200"/>
        <w:rPr>
          <w:rFonts w:hint="eastAsia" w:ascii="宋体"/>
          <w:color w:val="auto"/>
          <w:szCs w:val="21"/>
          <w:highlight w:val="none"/>
        </w:rPr>
      </w:pPr>
    </w:p>
    <w:p>
      <w:pPr>
        <w:spacing w:line="480" w:lineRule="auto"/>
        <w:ind w:firstLine="420" w:firstLineChars="200"/>
        <w:rPr>
          <w:rFonts w:hint="eastAsia" w:ascii="宋体"/>
          <w:color w:val="auto"/>
          <w:szCs w:val="21"/>
          <w:highlight w:val="none"/>
        </w:rPr>
      </w:pPr>
    </w:p>
    <w:p>
      <w:pPr>
        <w:spacing w:line="480" w:lineRule="auto"/>
        <w:ind w:firstLine="420" w:firstLineChars="200"/>
        <w:rPr>
          <w:rFonts w:hint="eastAsia" w:ascii="宋体"/>
          <w:color w:val="auto"/>
          <w:szCs w:val="21"/>
          <w:highlight w:val="none"/>
        </w:rPr>
      </w:pPr>
      <w:r>
        <w:rPr>
          <w:rFonts w:hint="eastAsia" w:ascii="宋体"/>
          <w:color w:val="auto"/>
          <w:szCs w:val="21"/>
          <w:highlight w:val="none"/>
        </w:rPr>
        <w:t>特此承诺！</w:t>
      </w:r>
    </w:p>
    <w:p>
      <w:pPr>
        <w:ind w:firstLine="420" w:firstLineChars="200"/>
        <w:rPr>
          <w:rFonts w:hint="eastAsia" w:ascii="宋体"/>
          <w:color w:val="auto"/>
          <w:szCs w:val="21"/>
          <w:highlight w:val="none"/>
        </w:rPr>
      </w:pPr>
    </w:p>
    <w:p>
      <w:pPr>
        <w:ind w:firstLine="420" w:firstLineChars="200"/>
        <w:rPr>
          <w:rFonts w:hint="eastAsia" w:ascii="宋体"/>
          <w:color w:val="auto"/>
          <w:szCs w:val="21"/>
          <w:highlight w:val="none"/>
        </w:rPr>
      </w:pPr>
    </w:p>
    <w:p>
      <w:pPr>
        <w:rPr>
          <w:rFonts w:hint="eastAsia" w:ascii="宋体"/>
          <w:color w:val="auto"/>
          <w:szCs w:val="21"/>
          <w:highlight w:val="none"/>
        </w:rPr>
      </w:pPr>
    </w:p>
    <w:p>
      <w:pPr>
        <w:ind w:firstLine="420" w:firstLineChars="200"/>
        <w:rPr>
          <w:rFonts w:hint="eastAsia" w:ascii="宋体"/>
          <w:color w:val="auto"/>
          <w:szCs w:val="21"/>
          <w:highlight w:val="none"/>
        </w:rPr>
      </w:pPr>
    </w:p>
    <w:p>
      <w:pPr>
        <w:spacing w:line="480" w:lineRule="auto"/>
        <w:jc w:val="center"/>
        <w:rPr>
          <w:rFonts w:hint="eastAsia" w:ascii="宋体"/>
          <w:color w:val="auto"/>
          <w:szCs w:val="21"/>
          <w:highlight w:val="none"/>
        </w:rPr>
      </w:pPr>
      <w:r>
        <w:rPr>
          <w:rFonts w:hint="eastAsia" w:ascii="宋体"/>
          <w:color w:val="auto"/>
          <w:szCs w:val="21"/>
          <w:highlight w:val="none"/>
        </w:rPr>
        <w:t>投标人（电子签章）：</w:t>
      </w:r>
    </w:p>
    <w:p>
      <w:pPr>
        <w:spacing w:line="480" w:lineRule="auto"/>
        <w:jc w:val="center"/>
        <w:rPr>
          <w:rFonts w:hint="eastAsia" w:ascii="宋体"/>
          <w:color w:val="auto"/>
          <w:szCs w:val="21"/>
          <w:highlight w:val="none"/>
        </w:rPr>
      </w:pPr>
      <w:r>
        <w:rPr>
          <w:rFonts w:hint="eastAsia" w:ascii="宋体"/>
          <w:color w:val="auto"/>
          <w:szCs w:val="21"/>
          <w:highlight w:val="none"/>
        </w:rPr>
        <w:t>法定代表人（电子签章）：</w:t>
      </w:r>
    </w:p>
    <w:p>
      <w:pPr>
        <w:spacing w:line="480" w:lineRule="auto"/>
        <w:jc w:val="right"/>
        <w:rPr>
          <w:rFonts w:hint="eastAsia" w:ascii="宋体"/>
          <w:color w:val="auto"/>
          <w:szCs w:val="21"/>
          <w:highlight w:val="none"/>
        </w:rPr>
      </w:pPr>
    </w:p>
    <w:p>
      <w:pPr>
        <w:spacing w:line="480" w:lineRule="auto"/>
        <w:jc w:val="center"/>
        <w:rPr>
          <w:rFonts w:hint="eastAsia" w:ascii="宋体"/>
          <w:color w:val="auto"/>
          <w:szCs w:val="18"/>
          <w:highlight w:val="none"/>
        </w:rPr>
      </w:pPr>
      <w:r>
        <w:rPr>
          <w:rFonts w:hint="eastAsia" w:ascii="宋体"/>
          <w:color w:val="auto"/>
          <w:sz w:val="24"/>
          <w:szCs w:val="21"/>
          <w:highlight w:val="none"/>
        </w:rPr>
        <w:t xml:space="preserve">                        </w:t>
      </w:r>
      <w:r>
        <w:rPr>
          <w:rFonts w:hint="eastAsia" w:ascii="宋体"/>
          <w:color w:val="auto"/>
          <w:szCs w:val="18"/>
          <w:highlight w:val="none"/>
        </w:rPr>
        <w:t>年        月        日</w:t>
      </w:r>
    </w:p>
    <w:p>
      <w:pPr>
        <w:rPr>
          <w:rFonts w:hint="eastAsia" w:ascii="宋体"/>
          <w:b/>
          <w:bCs/>
          <w:color w:val="auto"/>
          <w:sz w:val="30"/>
          <w:szCs w:val="30"/>
          <w:highlight w:val="none"/>
        </w:rPr>
      </w:pPr>
    </w:p>
    <w:p>
      <w:pPr>
        <w:pStyle w:val="5"/>
        <w:rPr>
          <w:rFonts w:ascii="宋体" w:hAnsi="宋体"/>
          <w:b/>
          <w:bCs/>
          <w:color w:val="auto"/>
          <w:sz w:val="30"/>
          <w:szCs w:val="30"/>
          <w:highlight w:val="none"/>
        </w:rPr>
      </w:pPr>
    </w:p>
    <w:p>
      <w:pPr>
        <w:rPr>
          <w:rFonts w:hint="eastAsia" w:ascii="宋体"/>
          <w:b/>
          <w:color w:val="auto"/>
          <w:szCs w:val="21"/>
          <w:highlight w:val="none"/>
        </w:rPr>
      </w:pPr>
      <w:r>
        <w:rPr>
          <w:rFonts w:hint="eastAsia" w:ascii="宋体"/>
          <w:b/>
          <w:color w:val="auto"/>
          <w:szCs w:val="21"/>
          <w:highlight w:val="none"/>
        </w:rPr>
        <w:t>注：另附一份</w:t>
      </w:r>
    </w:p>
    <w:p>
      <w:pPr>
        <w:ind w:firstLine="422" w:firstLineChars="200"/>
        <w:rPr>
          <w:rFonts w:hint="eastAsia" w:ascii="宋体"/>
          <w:b/>
          <w:color w:val="auto"/>
          <w:szCs w:val="21"/>
          <w:highlight w:val="none"/>
        </w:rPr>
      </w:pPr>
      <w:r>
        <w:rPr>
          <w:rFonts w:hint="eastAsia" w:ascii="宋体"/>
          <w:b/>
          <w:color w:val="auto"/>
          <w:szCs w:val="21"/>
          <w:highlight w:val="none"/>
          <w:lang w:eastAsia="zh-CN"/>
        </w:rPr>
        <w:t>项目经理</w:t>
      </w:r>
      <w:r>
        <w:rPr>
          <w:rFonts w:hint="eastAsia" w:ascii="宋体"/>
          <w:b/>
          <w:color w:val="auto"/>
          <w:szCs w:val="21"/>
          <w:highlight w:val="none"/>
        </w:rPr>
        <w:t>在投标及施工过程中不得更换承诺书（格式自拟，承诺书须加盖投标人电子签章及投标人法定代表人电子签章）。</w:t>
      </w:r>
    </w:p>
    <w:p>
      <w:pPr>
        <w:pStyle w:val="5"/>
        <w:rPr>
          <w:rFonts w:ascii="宋体" w:hAnsi="宋体"/>
          <w:b/>
          <w:bCs/>
          <w:color w:val="auto"/>
          <w:sz w:val="30"/>
          <w:szCs w:val="30"/>
          <w:highlight w:val="none"/>
        </w:rPr>
      </w:pPr>
    </w:p>
    <w:p>
      <w:pPr>
        <w:pStyle w:val="9"/>
        <w:keepNext/>
        <w:keepLines/>
        <w:widowControl/>
        <w:ind w:left="178" w:leftChars="85"/>
        <w:jc w:val="center"/>
        <w:rPr>
          <w:rFonts w:hint="eastAsia" w:ascii="新宋体" w:eastAsia="新宋体" w:cs="新宋体"/>
          <w:color w:val="auto"/>
          <w:sz w:val="24"/>
          <w:szCs w:val="24"/>
          <w:highlight w:val="none"/>
          <w:lang w:bidi="ar-SA"/>
        </w:rPr>
      </w:pPr>
      <w:r>
        <w:rPr>
          <w:rFonts w:hint="eastAsia" w:ascii="宋体" w:hAnsi="宋体"/>
          <w:bCs w:val="0"/>
          <w:color w:val="auto"/>
          <w:szCs w:val="30"/>
          <w:highlight w:val="none"/>
        </w:rPr>
        <w:br w:type="page"/>
      </w:r>
      <w:bookmarkStart w:id="959" w:name="_Toc22248_WPSOffice_Level1"/>
      <w:r>
        <w:rPr>
          <w:rFonts w:hint="eastAsia" w:ascii="新宋体" w:eastAsia="新宋体" w:cs="新宋体"/>
          <w:color w:val="auto"/>
          <w:sz w:val="24"/>
          <w:szCs w:val="24"/>
          <w:highlight w:val="none"/>
          <w:lang w:bidi="ar-SA"/>
        </w:rPr>
        <w:t>八、资格审查资料</w:t>
      </w:r>
      <w:bookmarkEnd w:id="947"/>
      <w:bookmarkEnd w:id="959"/>
    </w:p>
    <w:p>
      <w:pPr>
        <w:jc w:val="center"/>
        <w:rPr>
          <w:rFonts w:hint="eastAsia" w:ascii="宋体"/>
          <w:color w:val="auto"/>
          <w:sz w:val="24"/>
          <w:szCs w:val="32"/>
          <w:highlight w:val="none"/>
        </w:rPr>
      </w:pPr>
      <w:bookmarkStart w:id="960" w:name="_Toc152042597"/>
      <w:bookmarkStart w:id="961" w:name="_Toc179632828"/>
      <w:bookmarkStart w:id="962" w:name="_Toc152045808"/>
      <w:bookmarkStart w:id="963" w:name="_Toc144974876"/>
      <w:r>
        <w:rPr>
          <w:rFonts w:hint="eastAsia" w:ascii="宋体"/>
          <w:b/>
          <w:color w:val="auto"/>
          <w:sz w:val="24"/>
          <w:szCs w:val="32"/>
          <w:highlight w:val="none"/>
        </w:rPr>
        <w:t>（一）投标人基本情况表</w:t>
      </w:r>
      <w:bookmarkEnd w:id="960"/>
      <w:bookmarkEnd w:id="961"/>
      <w:bookmarkEnd w:id="962"/>
      <w:bookmarkEnd w:id="963"/>
    </w:p>
    <w:tbl>
      <w:tblPr>
        <w:tblStyle w:val="19"/>
        <w:tblW w:w="91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76"/>
        <w:gridCol w:w="950"/>
        <w:gridCol w:w="951"/>
        <w:gridCol w:w="840"/>
        <w:gridCol w:w="420"/>
        <w:gridCol w:w="311"/>
        <w:gridCol w:w="1078"/>
        <w:gridCol w:w="834"/>
        <w:gridCol w:w="860"/>
        <w:gridCol w:w="12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676" w:type="dxa"/>
            <w:tcBorders>
              <w:top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投标人名称</w:t>
            </w:r>
          </w:p>
        </w:tc>
        <w:tc>
          <w:tcPr>
            <w:tcW w:w="7446" w:type="dxa"/>
            <w:gridSpan w:val="9"/>
            <w:tcBorders>
              <w:top w:val="single" w:color="auto" w:sz="4" w:space="0"/>
              <w:left w:val="single" w:color="auto" w:sz="4" w:space="0"/>
              <w:bottom w:val="single" w:color="auto" w:sz="4" w:space="0"/>
              <w:tl2br w:val="nil"/>
              <w:tr2bl w:val="nil"/>
            </w:tcBorders>
            <w:vAlign w:val="center"/>
          </w:tcPr>
          <w:p>
            <w:pPr>
              <w:topLinePunct/>
              <w:jc w:val="center"/>
              <w:rPr>
                <w:rFonts w:hint="eastAsia" w:asci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676" w:type="dxa"/>
            <w:tcBorders>
              <w:top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注册地址</w:t>
            </w:r>
          </w:p>
        </w:tc>
        <w:tc>
          <w:tcPr>
            <w:tcW w:w="34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p>
        </w:tc>
        <w:tc>
          <w:tcPr>
            <w:tcW w:w="1078" w:type="dxa"/>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邮政编码</w:t>
            </w:r>
          </w:p>
        </w:tc>
        <w:tc>
          <w:tcPr>
            <w:tcW w:w="2896" w:type="dxa"/>
            <w:gridSpan w:val="3"/>
            <w:tcBorders>
              <w:top w:val="single" w:color="auto" w:sz="4" w:space="0"/>
              <w:left w:val="single" w:color="auto" w:sz="4" w:space="0"/>
              <w:bottom w:val="single" w:color="auto" w:sz="4" w:space="0"/>
              <w:tl2br w:val="nil"/>
              <w:tr2bl w:val="nil"/>
            </w:tcBorders>
            <w:vAlign w:val="center"/>
          </w:tcPr>
          <w:p>
            <w:pPr>
              <w:topLinePunct/>
              <w:jc w:val="center"/>
              <w:rPr>
                <w:rFonts w:hint="eastAsia" w:asci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676" w:type="dxa"/>
            <w:vMerge w:val="restart"/>
            <w:tcBorders>
              <w:top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联系方式</w:t>
            </w:r>
          </w:p>
        </w:tc>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联系人</w:t>
            </w:r>
          </w:p>
        </w:tc>
        <w:tc>
          <w:tcPr>
            <w:tcW w:w="2522" w:type="dxa"/>
            <w:gridSpan w:val="4"/>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p>
        </w:tc>
        <w:tc>
          <w:tcPr>
            <w:tcW w:w="1078" w:type="dxa"/>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电 话</w:t>
            </w:r>
          </w:p>
        </w:tc>
        <w:tc>
          <w:tcPr>
            <w:tcW w:w="2896" w:type="dxa"/>
            <w:gridSpan w:val="3"/>
            <w:tcBorders>
              <w:top w:val="single" w:color="auto" w:sz="4" w:space="0"/>
              <w:left w:val="single" w:color="auto" w:sz="4" w:space="0"/>
              <w:bottom w:val="single" w:color="auto" w:sz="4" w:space="0"/>
              <w:tl2br w:val="nil"/>
              <w:tr2bl w:val="nil"/>
            </w:tcBorders>
            <w:vAlign w:val="center"/>
          </w:tcPr>
          <w:p>
            <w:pPr>
              <w:topLinePunct/>
              <w:jc w:val="center"/>
              <w:rPr>
                <w:rFonts w:hint="eastAsia" w:asci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1676" w:type="dxa"/>
            <w:vMerge w:val="continue"/>
            <w:tcBorders>
              <w:top w:val="single" w:color="auto" w:sz="4" w:space="0"/>
              <w:bottom w:val="single" w:color="auto" w:sz="4" w:space="0"/>
              <w:right w:val="single" w:color="auto" w:sz="4" w:space="0"/>
              <w:tl2br w:val="nil"/>
              <w:tr2bl w:val="nil"/>
            </w:tcBorders>
            <w:vAlign w:val="center"/>
          </w:tcPr>
          <w:p>
            <w:pPr>
              <w:rPr>
                <w:color w:val="auto"/>
                <w:highlight w:val="none"/>
              </w:rPr>
            </w:pPr>
          </w:p>
        </w:tc>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传  真</w:t>
            </w:r>
          </w:p>
        </w:tc>
        <w:tc>
          <w:tcPr>
            <w:tcW w:w="2522" w:type="dxa"/>
            <w:gridSpan w:val="4"/>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p>
        </w:tc>
        <w:tc>
          <w:tcPr>
            <w:tcW w:w="1078" w:type="dxa"/>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网 址</w:t>
            </w:r>
          </w:p>
        </w:tc>
        <w:tc>
          <w:tcPr>
            <w:tcW w:w="2896" w:type="dxa"/>
            <w:gridSpan w:val="3"/>
            <w:tcBorders>
              <w:top w:val="single" w:color="auto" w:sz="4" w:space="0"/>
              <w:left w:val="single" w:color="auto" w:sz="4" w:space="0"/>
              <w:bottom w:val="single" w:color="auto" w:sz="4" w:space="0"/>
              <w:tl2br w:val="nil"/>
              <w:tr2bl w:val="nil"/>
            </w:tcBorders>
            <w:vAlign w:val="center"/>
          </w:tcPr>
          <w:p>
            <w:pPr>
              <w:topLinePunct/>
              <w:jc w:val="center"/>
              <w:rPr>
                <w:rFonts w:hint="eastAsia" w:asci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676" w:type="dxa"/>
            <w:tcBorders>
              <w:top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组织结构</w:t>
            </w:r>
          </w:p>
        </w:tc>
        <w:tc>
          <w:tcPr>
            <w:tcW w:w="7446" w:type="dxa"/>
            <w:gridSpan w:val="9"/>
            <w:tcBorders>
              <w:top w:val="single" w:color="auto" w:sz="4" w:space="0"/>
              <w:left w:val="single" w:color="auto" w:sz="4" w:space="0"/>
              <w:bottom w:val="single" w:color="auto" w:sz="4" w:space="0"/>
              <w:tl2br w:val="nil"/>
              <w:tr2bl w:val="nil"/>
            </w:tcBorders>
            <w:vAlign w:val="center"/>
          </w:tcPr>
          <w:p>
            <w:pPr>
              <w:topLinePunct/>
              <w:jc w:val="center"/>
              <w:rPr>
                <w:rFonts w:hint="eastAsia" w:asci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676" w:type="dxa"/>
            <w:tcBorders>
              <w:top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法定代表人</w:t>
            </w:r>
          </w:p>
        </w:tc>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姓名</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技术职称</w:t>
            </w:r>
          </w:p>
        </w:tc>
        <w:tc>
          <w:tcPr>
            <w:tcW w:w="2223" w:type="dxa"/>
            <w:gridSpan w:val="3"/>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p>
        </w:tc>
        <w:tc>
          <w:tcPr>
            <w:tcW w:w="860" w:type="dxa"/>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电话</w:t>
            </w:r>
          </w:p>
        </w:tc>
        <w:tc>
          <w:tcPr>
            <w:tcW w:w="1202" w:type="dxa"/>
            <w:tcBorders>
              <w:top w:val="single" w:color="auto" w:sz="4" w:space="0"/>
              <w:left w:val="single" w:color="auto" w:sz="4" w:space="0"/>
              <w:bottom w:val="single" w:color="auto" w:sz="4" w:space="0"/>
              <w:tl2br w:val="nil"/>
              <w:tr2bl w:val="nil"/>
            </w:tcBorders>
            <w:vAlign w:val="center"/>
          </w:tcPr>
          <w:p>
            <w:pPr>
              <w:topLinePunct/>
              <w:jc w:val="center"/>
              <w:rPr>
                <w:rFonts w:hint="eastAsia" w:asci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676" w:type="dxa"/>
            <w:tcBorders>
              <w:top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技术负责人</w:t>
            </w:r>
          </w:p>
        </w:tc>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姓名</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技术职称</w:t>
            </w:r>
          </w:p>
        </w:tc>
        <w:tc>
          <w:tcPr>
            <w:tcW w:w="2223" w:type="dxa"/>
            <w:gridSpan w:val="3"/>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p>
        </w:tc>
        <w:tc>
          <w:tcPr>
            <w:tcW w:w="860" w:type="dxa"/>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电话</w:t>
            </w:r>
          </w:p>
        </w:tc>
        <w:tc>
          <w:tcPr>
            <w:tcW w:w="1202" w:type="dxa"/>
            <w:tcBorders>
              <w:top w:val="single" w:color="auto" w:sz="4" w:space="0"/>
              <w:left w:val="single" w:color="auto" w:sz="4" w:space="0"/>
              <w:bottom w:val="single" w:color="auto" w:sz="4" w:space="0"/>
              <w:tl2br w:val="nil"/>
              <w:tr2bl w:val="nil"/>
            </w:tcBorders>
            <w:vAlign w:val="center"/>
          </w:tcPr>
          <w:p>
            <w:pPr>
              <w:topLinePunct/>
              <w:jc w:val="center"/>
              <w:rPr>
                <w:rFonts w:hint="eastAsia" w:asci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76" w:type="dxa"/>
            <w:tcBorders>
              <w:top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成立时间</w:t>
            </w:r>
          </w:p>
        </w:tc>
        <w:tc>
          <w:tcPr>
            <w:tcW w:w="19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p>
        </w:tc>
        <w:tc>
          <w:tcPr>
            <w:tcW w:w="5545" w:type="dxa"/>
            <w:gridSpan w:val="7"/>
            <w:tcBorders>
              <w:top w:val="single" w:color="auto" w:sz="4" w:space="0"/>
              <w:left w:val="single" w:color="auto" w:sz="4" w:space="0"/>
              <w:bottom w:val="single" w:color="auto" w:sz="4" w:space="0"/>
              <w:tl2br w:val="nil"/>
              <w:tr2bl w:val="nil"/>
            </w:tcBorders>
            <w:vAlign w:val="center"/>
          </w:tcPr>
          <w:p>
            <w:pPr>
              <w:topLinePunct/>
              <w:ind w:firstLine="105" w:firstLineChars="50"/>
              <w:jc w:val="center"/>
              <w:rPr>
                <w:rFonts w:hint="eastAsia" w:ascii="宋体"/>
                <w:color w:val="auto"/>
                <w:highlight w:val="none"/>
              </w:rPr>
            </w:pPr>
            <w:r>
              <w:rPr>
                <w:rFonts w:hint="eastAsia" w:ascii="宋体"/>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1676" w:type="dxa"/>
            <w:tcBorders>
              <w:top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企业资质等级</w:t>
            </w:r>
          </w:p>
        </w:tc>
        <w:tc>
          <w:tcPr>
            <w:tcW w:w="19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p>
        </w:tc>
        <w:tc>
          <w:tcPr>
            <w:tcW w:w="84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其中</w:t>
            </w:r>
          </w:p>
        </w:tc>
        <w:tc>
          <w:tcPr>
            <w:tcW w:w="2643" w:type="dxa"/>
            <w:gridSpan w:val="4"/>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eastAsia="宋体"/>
                <w:color w:val="auto"/>
                <w:highlight w:val="none"/>
                <w:lang w:eastAsia="zh-CN"/>
              </w:rPr>
            </w:pPr>
            <w:r>
              <w:rPr>
                <w:rFonts w:hint="eastAsia" w:ascii="宋体"/>
                <w:color w:val="auto"/>
                <w:highlight w:val="none"/>
                <w:lang w:eastAsia="zh-CN"/>
              </w:rPr>
              <w:t>项目经理</w:t>
            </w:r>
          </w:p>
        </w:tc>
        <w:tc>
          <w:tcPr>
            <w:tcW w:w="2062" w:type="dxa"/>
            <w:gridSpan w:val="2"/>
            <w:tcBorders>
              <w:top w:val="single" w:color="auto" w:sz="4" w:space="0"/>
              <w:left w:val="single" w:color="auto" w:sz="4" w:space="0"/>
              <w:bottom w:val="single" w:color="auto" w:sz="4" w:space="0"/>
              <w:tl2br w:val="nil"/>
              <w:tr2bl w:val="nil"/>
            </w:tcBorders>
            <w:vAlign w:val="center"/>
          </w:tcPr>
          <w:p>
            <w:pPr>
              <w:topLinePunct/>
              <w:jc w:val="center"/>
              <w:rPr>
                <w:rFonts w:hint="eastAsia" w:asci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676" w:type="dxa"/>
            <w:tcBorders>
              <w:top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营业执照号</w:t>
            </w:r>
          </w:p>
        </w:tc>
        <w:tc>
          <w:tcPr>
            <w:tcW w:w="19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p>
        </w:tc>
        <w:tc>
          <w:tcPr>
            <w:tcW w:w="2643" w:type="dxa"/>
            <w:gridSpan w:val="4"/>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高级职称人员</w:t>
            </w:r>
          </w:p>
        </w:tc>
        <w:tc>
          <w:tcPr>
            <w:tcW w:w="2062" w:type="dxa"/>
            <w:gridSpan w:val="2"/>
            <w:tcBorders>
              <w:top w:val="single" w:color="auto" w:sz="4" w:space="0"/>
              <w:left w:val="single" w:color="auto" w:sz="4" w:space="0"/>
              <w:bottom w:val="single" w:color="auto" w:sz="4" w:space="0"/>
              <w:tl2br w:val="nil"/>
              <w:tr2bl w:val="nil"/>
            </w:tcBorders>
            <w:vAlign w:val="center"/>
          </w:tcPr>
          <w:p>
            <w:pPr>
              <w:topLinePunct/>
              <w:jc w:val="center"/>
              <w:rPr>
                <w:rFonts w:hint="eastAsia" w:asci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1676" w:type="dxa"/>
            <w:tcBorders>
              <w:top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注册资金</w:t>
            </w:r>
          </w:p>
        </w:tc>
        <w:tc>
          <w:tcPr>
            <w:tcW w:w="19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p>
        </w:tc>
        <w:tc>
          <w:tcPr>
            <w:tcW w:w="2643" w:type="dxa"/>
            <w:gridSpan w:val="4"/>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中级职称人员</w:t>
            </w:r>
          </w:p>
        </w:tc>
        <w:tc>
          <w:tcPr>
            <w:tcW w:w="2062" w:type="dxa"/>
            <w:gridSpan w:val="2"/>
            <w:tcBorders>
              <w:top w:val="single" w:color="auto" w:sz="4" w:space="0"/>
              <w:left w:val="single" w:color="auto" w:sz="4" w:space="0"/>
              <w:bottom w:val="single" w:color="auto" w:sz="4" w:space="0"/>
              <w:tl2br w:val="nil"/>
              <w:tr2bl w:val="nil"/>
            </w:tcBorders>
            <w:vAlign w:val="center"/>
          </w:tcPr>
          <w:p>
            <w:pPr>
              <w:topLinePunct/>
              <w:jc w:val="center"/>
              <w:rPr>
                <w:rFonts w:hint="eastAsia" w:asci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1676" w:type="dxa"/>
            <w:tcBorders>
              <w:top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开户银行</w:t>
            </w:r>
          </w:p>
        </w:tc>
        <w:tc>
          <w:tcPr>
            <w:tcW w:w="19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p>
        </w:tc>
        <w:tc>
          <w:tcPr>
            <w:tcW w:w="2643" w:type="dxa"/>
            <w:gridSpan w:val="4"/>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初级职称人员</w:t>
            </w:r>
          </w:p>
        </w:tc>
        <w:tc>
          <w:tcPr>
            <w:tcW w:w="2062" w:type="dxa"/>
            <w:gridSpan w:val="2"/>
            <w:tcBorders>
              <w:top w:val="single" w:color="auto" w:sz="4" w:space="0"/>
              <w:left w:val="single" w:color="auto" w:sz="4" w:space="0"/>
              <w:bottom w:val="single" w:color="auto" w:sz="4" w:space="0"/>
              <w:tl2br w:val="nil"/>
              <w:tr2bl w:val="nil"/>
            </w:tcBorders>
            <w:vAlign w:val="center"/>
          </w:tcPr>
          <w:p>
            <w:pPr>
              <w:topLinePunct/>
              <w:jc w:val="center"/>
              <w:rPr>
                <w:rFonts w:hint="eastAsia" w:asci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1676" w:type="dxa"/>
            <w:tcBorders>
              <w:top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账号</w:t>
            </w:r>
          </w:p>
        </w:tc>
        <w:tc>
          <w:tcPr>
            <w:tcW w:w="19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p>
        </w:tc>
        <w:tc>
          <w:tcPr>
            <w:tcW w:w="2643" w:type="dxa"/>
            <w:gridSpan w:val="4"/>
            <w:tcBorders>
              <w:top w:val="single" w:color="auto" w:sz="4" w:space="0"/>
              <w:left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技  工</w:t>
            </w:r>
          </w:p>
        </w:tc>
        <w:tc>
          <w:tcPr>
            <w:tcW w:w="2062" w:type="dxa"/>
            <w:gridSpan w:val="2"/>
            <w:tcBorders>
              <w:top w:val="single" w:color="auto" w:sz="4" w:space="0"/>
              <w:left w:val="single" w:color="auto" w:sz="4" w:space="0"/>
              <w:bottom w:val="single" w:color="auto" w:sz="4" w:space="0"/>
              <w:tl2br w:val="nil"/>
              <w:tr2bl w:val="nil"/>
            </w:tcBorders>
            <w:vAlign w:val="center"/>
          </w:tcPr>
          <w:p>
            <w:pPr>
              <w:topLinePunct/>
              <w:jc w:val="center"/>
              <w:rPr>
                <w:rFonts w:hint="eastAsia" w:asci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4" w:hRule="atLeast"/>
          <w:jc w:val="center"/>
        </w:trPr>
        <w:tc>
          <w:tcPr>
            <w:tcW w:w="1676" w:type="dxa"/>
            <w:tcBorders>
              <w:top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经营范围</w:t>
            </w:r>
          </w:p>
        </w:tc>
        <w:tc>
          <w:tcPr>
            <w:tcW w:w="7446" w:type="dxa"/>
            <w:gridSpan w:val="9"/>
            <w:tcBorders>
              <w:top w:val="single" w:color="auto" w:sz="4" w:space="0"/>
              <w:left w:val="single" w:color="auto" w:sz="4" w:space="0"/>
              <w:tl2br w:val="nil"/>
              <w:tr2bl w:val="nil"/>
            </w:tcBorders>
            <w:vAlign w:val="center"/>
          </w:tcPr>
          <w:p>
            <w:pPr>
              <w:topLinePunct/>
              <w:jc w:val="center"/>
              <w:rPr>
                <w:rFonts w:hint="eastAsia" w:ascii="宋体"/>
                <w:color w:val="auto"/>
                <w:highlight w:val="none"/>
              </w:rPr>
            </w:pPr>
          </w:p>
          <w:p>
            <w:pPr>
              <w:topLinePunct/>
              <w:jc w:val="center"/>
              <w:rPr>
                <w:rFonts w:hint="eastAsia" w:ascii="宋体"/>
                <w:color w:val="auto"/>
                <w:highlight w:val="none"/>
              </w:rPr>
            </w:pPr>
          </w:p>
          <w:p>
            <w:pPr>
              <w:topLinePunct/>
              <w:rPr>
                <w:rFonts w:hint="eastAsia" w:asci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8" w:hRule="atLeast"/>
          <w:jc w:val="center"/>
        </w:trPr>
        <w:tc>
          <w:tcPr>
            <w:tcW w:w="1676" w:type="dxa"/>
            <w:tcBorders>
              <w:top w:val="single" w:color="auto" w:sz="4" w:space="0"/>
              <w:bottom w:val="single" w:color="auto" w:sz="4" w:space="0"/>
              <w:right w:val="single" w:color="auto" w:sz="4" w:space="0"/>
              <w:tl2br w:val="nil"/>
              <w:tr2bl w:val="nil"/>
            </w:tcBorders>
            <w:vAlign w:val="center"/>
          </w:tcPr>
          <w:p>
            <w:pPr>
              <w:topLinePunct/>
              <w:jc w:val="center"/>
              <w:rPr>
                <w:rFonts w:hint="eastAsia" w:ascii="宋体"/>
                <w:color w:val="auto"/>
                <w:highlight w:val="none"/>
              </w:rPr>
            </w:pPr>
            <w:r>
              <w:rPr>
                <w:rFonts w:hint="eastAsia" w:ascii="宋体"/>
                <w:color w:val="auto"/>
                <w:highlight w:val="none"/>
              </w:rPr>
              <w:t>备注</w:t>
            </w:r>
          </w:p>
        </w:tc>
        <w:tc>
          <w:tcPr>
            <w:tcW w:w="7446" w:type="dxa"/>
            <w:gridSpan w:val="9"/>
            <w:tcBorders>
              <w:top w:val="single" w:color="auto" w:sz="4" w:space="0"/>
              <w:left w:val="single" w:color="auto" w:sz="4" w:space="0"/>
              <w:bottom w:val="single" w:color="auto" w:sz="4" w:space="0"/>
              <w:tl2br w:val="nil"/>
              <w:tr2bl w:val="nil"/>
            </w:tcBorders>
            <w:vAlign w:val="center"/>
          </w:tcPr>
          <w:p>
            <w:pPr>
              <w:topLinePunct/>
              <w:jc w:val="center"/>
              <w:rPr>
                <w:rFonts w:hint="eastAsia" w:ascii="宋体"/>
                <w:color w:val="auto"/>
                <w:highlight w:val="none"/>
              </w:rPr>
            </w:pPr>
          </w:p>
        </w:tc>
      </w:tr>
    </w:tbl>
    <w:p>
      <w:pPr>
        <w:spacing w:before="120" w:beforeLines="50" w:after="120" w:afterLines="50" w:line="440" w:lineRule="exact"/>
        <w:ind w:firstLine="422" w:firstLineChars="200"/>
        <w:rPr>
          <w:rFonts w:hint="eastAsia" w:ascii="宋体" w:cs="黑体"/>
          <w:b/>
          <w:color w:val="auto"/>
          <w:kern w:val="0"/>
          <w:szCs w:val="21"/>
          <w:highlight w:val="none"/>
          <w:lang w:bidi="ar-SA"/>
        </w:rPr>
      </w:pPr>
      <w:bookmarkStart w:id="964" w:name="_Toc252195149"/>
      <w:bookmarkStart w:id="965" w:name="_Toc329874985"/>
      <w:bookmarkStart w:id="966" w:name="_Toc252894062"/>
      <w:bookmarkStart w:id="967" w:name="_Toc252195339"/>
      <w:r>
        <w:rPr>
          <w:rFonts w:hint="eastAsia" w:ascii="宋体" w:cs="黑体"/>
          <w:b/>
          <w:color w:val="auto"/>
          <w:kern w:val="0"/>
          <w:szCs w:val="21"/>
          <w:highlight w:val="none"/>
          <w:lang w:bidi="ar-SA"/>
        </w:rPr>
        <w:t>后附营业执照、安全生产许可证等原件扫描件（或图片）。</w:t>
      </w:r>
    </w:p>
    <w:p>
      <w:pPr>
        <w:spacing w:before="120" w:beforeLines="50" w:after="120" w:afterLines="50" w:line="440" w:lineRule="exact"/>
        <w:rPr>
          <w:rFonts w:hint="eastAsia" w:ascii="宋体"/>
          <w:b/>
          <w:color w:val="auto"/>
          <w:highlight w:val="none"/>
        </w:rPr>
      </w:pPr>
    </w:p>
    <w:p>
      <w:pPr>
        <w:spacing w:before="120" w:beforeLines="50" w:after="120" w:afterLines="50" w:line="440" w:lineRule="exact"/>
        <w:jc w:val="center"/>
        <w:rPr>
          <w:rFonts w:hint="default" w:ascii="宋体" w:eastAsia="宋体"/>
          <w:b/>
          <w:color w:val="auto"/>
          <w:highlight w:val="none"/>
          <w:lang w:val="en-US" w:eastAsia="zh-CN"/>
        </w:rPr>
      </w:pPr>
      <w:r>
        <w:rPr>
          <w:rFonts w:hint="eastAsia" w:ascii="宋体"/>
          <w:b/>
          <w:color w:val="auto"/>
          <w:highlight w:val="none"/>
        </w:rPr>
        <w:br w:type="page"/>
      </w:r>
      <w:r>
        <w:rPr>
          <w:rFonts w:hint="eastAsia" w:ascii="宋体"/>
          <w:b/>
          <w:color w:val="auto"/>
          <w:sz w:val="24"/>
          <w:szCs w:val="32"/>
          <w:highlight w:val="none"/>
        </w:rPr>
        <w:t>（二）近年完成的类似项目情况表</w:t>
      </w:r>
    </w:p>
    <w:tbl>
      <w:tblPr>
        <w:tblStyle w:val="19"/>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项目名称</w:t>
            </w:r>
          </w:p>
        </w:tc>
        <w:tc>
          <w:tcPr>
            <w:tcW w:w="6094"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项目所在地</w:t>
            </w:r>
          </w:p>
        </w:tc>
        <w:tc>
          <w:tcPr>
            <w:tcW w:w="6094"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发包人名称</w:t>
            </w:r>
          </w:p>
        </w:tc>
        <w:tc>
          <w:tcPr>
            <w:tcW w:w="6094"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发包人地址</w:t>
            </w:r>
          </w:p>
        </w:tc>
        <w:tc>
          <w:tcPr>
            <w:tcW w:w="6094"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发包人联系人</w:t>
            </w:r>
          </w:p>
        </w:tc>
        <w:tc>
          <w:tcPr>
            <w:tcW w:w="6094"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合同价格</w:t>
            </w:r>
          </w:p>
        </w:tc>
        <w:tc>
          <w:tcPr>
            <w:tcW w:w="6094"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开工日期</w:t>
            </w:r>
          </w:p>
        </w:tc>
        <w:tc>
          <w:tcPr>
            <w:tcW w:w="6094"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竣工日期</w:t>
            </w:r>
          </w:p>
        </w:tc>
        <w:tc>
          <w:tcPr>
            <w:tcW w:w="6094"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承担的工作</w:t>
            </w:r>
          </w:p>
        </w:tc>
        <w:tc>
          <w:tcPr>
            <w:tcW w:w="6094"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工程质量</w:t>
            </w:r>
          </w:p>
        </w:tc>
        <w:tc>
          <w:tcPr>
            <w:tcW w:w="6094"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tcBorders>
              <w:tl2br w:val="nil"/>
              <w:tr2bl w:val="nil"/>
            </w:tcBorders>
            <w:vAlign w:val="center"/>
          </w:tcPr>
          <w:p>
            <w:pPr>
              <w:jc w:val="center"/>
              <w:rPr>
                <w:rFonts w:hint="eastAsia" w:ascii="宋体" w:eastAsia="宋体"/>
                <w:color w:val="auto"/>
                <w:szCs w:val="21"/>
                <w:highlight w:val="none"/>
                <w:lang w:eastAsia="zh-CN"/>
              </w:rPr>
            </w:pPr>
            <w:r>
              <w:rPr>
                <w:rFonts w:hint="eastAsia" w:ascii="宋体"/>
                <w:color w:val="auto"/>
                <w:szCs w:val="21"/>
                <w:highlight w:val="none"/>
                <w:lang w:eastAsia="zh-CN"/>
              </w:rPr>
              <w:t>项目经理</w:t>
            </w:r>
          </w:p>
        </w:tc>
        <w:tc>
          <w:tcPr>
            <w:tcW w:w="6094"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技术负责人</w:t>
            </w:r>
          </w:p>
        </w:tc>
        <w:tc>
          <w:tcPr>
            <w:tcW w:w="6094"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总监理工程师</w:t>
            </w:r>
          </w:p>
        </w:tc>
        <w:tc>
          <w:tcPr>
            <w:tcW w:w="6094"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2411"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项目描述</w:t>
            </w:r>
          </w:p>
        </w:tc>
        <w:tc>
          <w:tcPr>
            <w:tcW w:w="6094"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备注</w:t>
            </w:r>
          </w:p>
        </w:tc>
        <w:tc>
          <w:tcPr>
            <w:tcW w:w="6094" w:type="dxa"/>
            <w:tcBorders>
              <w:tl2br w:val="nil"/>
              <w:tr2bl w:val="nil"/>
            </w:tcBorders>
            <w:vAlign w:val="center"/>
          </w:tcPr>
          <w:p>
            <w:pPr>
              <w:jc w:val="center"/>
              <w:rPr>
                <w:rFonts w:hint="eastAsia" w:ascii="宋体"/>
                <w:color w:val="auto"/>
                <w:szCs w:val="21"/>
                <w:highlight w:val="none"/>
              </w:rPr>
            </w:pPr>
          </w:p>
        </w:tc>
      </w:tr>
    </w:tbl>
    <w:p>
      <w:pPr>
        <w:tabs>
          <w:tab w:val="center" w:pos="4153"/>
        </w:tabs>
        <w:spacing w:line="440" w:lineRule="exact"/>
        <w:ind w:left="630" w:leftChars="200" w:hanging="210" w:hangingChars="100"/>
        <w:rPr>
          <w:rFonts w:hint="eastAsia" w:ascii="宋体"/>
          <w:color w:val="auto"/>
          <w:szCs w:val="21"/>
          <w:highlight w:val="none"/>
        </w:rPr>
      </w:pPr>
      <w:r>
        <w:rPr>
          <w:rFonts w:hint="eastAsia" w:ascii="宋体"/>
          <w:color w:val="auto"/>
          <w:szCs w:val="21"/>
          <w:highlight w:val="none"/>
        </w:rPr>
        <w:t>备注：</w:t>
      </w:r>
      <w:r>
        <w:rPr>
          <w:rFonts w:hint="eastAsia" w:ascii="宋体"/>
          <w:color w:val="auto"/>
          <w:szCs w:val="21"/>
          <w:highlight w:val="none"/>
          <w:lang w:eastAsia="zh-CN"/>
        </w:rPr>
        <w:t>如有需在</w:t>
      </w:r>
      <w:r>
        <w:rPr>
          <w:rFonts w:hint="eastAsia" w:ascii="宋体"/>
          <w:color w:val="auto"/>
          <w:szCs w:val="21"/>
          <w:highlight w:val="none"/>
        </w:rPr>
        <w:t>本表后附相关原件扫描件（或图片）。每张表格只填写一个项目，并标明序号。</w:t>
      </w:r>
    </w:p>
    <w:p>
      <w:pPr>
        <w:rPr>
          <w:color w:val="auto"/>
          <w:highlight w:val="none"/>
        </w:rPr>
      </w:pPr>
    </w:p>
    <w:p>
      <w:pPr>
        <w:rPr>
          <w:color w:val="auto"/>
          <w:highlight w:val="none"/>
        </w:rPr>
      </w:pPr>
    </w:p>
    <w:p>
      <w:pPr>
        <w:rPr>
          <w:color w:val="auto"/>
          <w:highlight w:val="none"/>
        </w:rPr>
      </w:pPr>
    </w:p>
    <w:p>
      <w:pPr>
        <w:pStyle w:val="22"/>
        <w:rPr>
          <w:color w:val="auto"/>
          <w:highlight w:val="none"/>
        </w:rPr>
      </w:pPr>
    </w:p>
    <w:p>
      <w:pPr>
        <w:spacing w:before="120" w:beforeLines="50" w:after="120" w:afterLines="50" w:line="440" w:lineRule="exact"/>
        <w:jc w:val="center"/>
        <w:rPr>
          <w:rFonts w:hint="eastAsia" w:ascii="黑体" w:eastAsia="黑体"/>
          <w:color w:val="auto"/>
          <w:sz w:val="24"/>
          <w:highlight w:val="none"/>
        </w:rPr>
      </w:pPr>
    </w:p>
    <w:p>
      <w:pPr>
        <w:spacing w:before="120" w:beforeLines="50" w:after="120" w:afterLines="50" w:line="440" w:lineRule="exact"/>
        <w:jc w:val="center"/>
        <w:rPr>
          <w:rFonts w:hint="eastAsia" w:ascii="宋体"/>
          <w:b/>
          <w:color w:val="auto"/>
          <w:highlight w:val="none"/>
        </w:rPr>
      </w:pPr>
      <w:r>
        <w:rPr>
          <w:rFonts w:hint="eastAsia" w:ascii="黑体" w:eastAsia="黑体"/>
          <w:color w:val="auto"/>
          <w:sz w:val="24"/>
          <w:highlight w:val="none"/>
        </w:rPr>
        <w:br w:type="page"/>
      </w:r>
      <w:r>
        <w:rPr>
          <w:rFonts w:hint="eastAsia" w:ascii="宋体"/>
          <w:b/>
          <w:color w:val="auto"/>
          <w:sz w:val="24"/>
          <w:szCs w:val="32"/>
          <w:highlight w:val="none"/>
        </w:rPr>
        <w:t>（三）正在施工的和新承接的项目情况表</w:t>
      </w:r>
    </w:p>
    <w:tbl>
      <w:tblPr>
        <w:tblStyle w:val="19"/>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2"/>
        <w:gridCol w:w="6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572"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项目名称</w:t>
            </w:r>
          </w:p>
        </w:tc>
        <w:tc>
          <w:tcPr>
            <w:tcW w:w="6507"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572"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项目所在地</w:t>
            </w:r>
          </w:p>
        </w:tc>
        <w:tc>
          <w:tcPr>
            <w:tcW w:w="6507"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572"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发包人名称</w:t>
            </w:r>
          </w:p>
        </w:tc>
        <w:tc>
          <w:tcPr>
            <w:tcW w:w="6507"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572"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发包人地址</w:t>
            </w:r>
          </w:p>
        </w:tc>
        <w:tc>
          <w:tcPr>
            <w:tcW w:w="6507"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572"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发包人电话</w:t>
            </w:r>
          </w:p>
        </w:tc>
        <w:tc>
          <w:tcPr>
            <w:tcW w:w="6507"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572"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签约合同价</w:t>
            </w:r>
          </w:p>
        </w:tc>
        <w:tc>
          <w:tcPr>
            <w:tcW w:w="6507"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572"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开工日期</w:t>
            </w:r>
          </w:p>
        </w:tc>
        <w:tc>
          <w:tcPr>
            <w:tcW w:w="6507"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572"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计划竣工日期</w:t>
            </w:r>
          </w:p>
        </w:tc>
        <w:tc>
          <w:tcPr>
            <w:tcW w:w="6507"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572"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承担的工作</w:t>
            </w:r>
          </w:p>
        </w:tc>
        <w:tc>
          <w:tcPr>
            <w:tcW w:w="6507"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572"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工程质量</w:t>
            </w:r>
          </w:p>
        </w:tc>
        <w:tc>
          <w:tcPr>
            <w:tcW w:w="6507"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572" w:type="dxa"/>
            <w:tcBorders>
              <w:tl2br w:val="nil"/>
              <w:tr2bl w:val="nil"/>
            </w:tcBorders>
            <w:vAlign w:val="center"/>
          </w:tcPr>
          <w:p>
            <w:pPr>
              <w:jc w:val="center"/>
              <w:rPr>
                <w:rFonts w:hint="eastAsia" w:ascii="宋体" w:eastAsia="宋体"/>
                <w:color w:val="auto"/>
                <w:szCs w:val="21"/>
                <w:highlight w:val="none"/>
                <w:lang w:eastAsia="zh-CN"/>
              </w:rPr>
            </w:pPr>
            <w:r>
              <w:rPr>
                <w:rFonts w:hint="eastAsia" w:ascii="宋体"/>
                <w:color w:val="auto"/>
                <w:szCs w:val="21"/>
                <w:highlight w:val="none"/>
                <w:lang w:eastAsia="zh-CN"/>
              </w:rPr>
              <w:t>项目经理</w:t>
            </w:r>
          </w:p>
        </w:tc>
        <w:tc>
          <w:tcPr>
            <w:tcW w:w="6507"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572"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技术负责人</w:t>
            </w:r>
          </w:p>
        </w:tc>
        <w:tc>
          <w:tcPr>
            <w:tcW w:w="6507"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572"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总监理工程师</w:t>
            </w:r>
          </w:p>
        </w:tc>
        <w:tc>
          <w:tcPr>
            <w:tcW w:w="6507"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jc w:val="center"/>
        </w:trPr>
        <w:tc>
          <w:tcPr>
            <w:tcW w:w="2572"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项目描述</w:t>
            </w:r>
          </w:p>
        </w:tc>
        <w:tc>
          <w:tcPr>
            <w:tcW w:w="6507" w:type="dxa"/>
            <w:tcBorders>
              <w:tl2br w:val="nil"/>
              <w:tr2bl w:val="nil"/>
            </w:tcBorders>
            <w:vAlign w:val="center"/>
          </w:tcPr>
          <w:p>
            <w:pPr>
              <w:jc w:val="center"/>
              <w:rPr>
                <w:rFonts w:hint="eastAsia"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572" w:type="dxa"/>
            <w:tcBorders>
              <w:tl2br w:val="nil"/>
              <w:tr2bl w:val="nil"/>
            </w:tcBorders>
            <w:vAlign w:val="center"/>
          </w:tcPr>
          <w:p>
            <w:pPr>
              <w:jc w:val="center"/>
              <w:rPr>
                <w:rFonts w:hint="eastAsia" w:ascii="宋体"/>
                <w:color w:val="auto"/>
                <w:szCs w:val="21"/>
                <w:highlight w:val="none"/>
              </w:rPr>
            </w:pPr>
            <w:r>
              <w:rPr>
                <w:rFonts w:hint="eastAsia" w:ascii="宋体"/>
                <w:color w:val="auto"/>
                <w:szCs w:val="21"/>
                <w:highlight w:val="none"/>
              </w:rPr>
              <w:t>备注</w:t>
            </w:r>
          </w:p>
        </w:tc>
        <w:tc>
          <w:tcPr>
            <w:tcW w:w="6507" w:type="dxa"/>
            <w:tcBorders>
              <w:tl2br w:val="nil"/>
              <w:tr2bl w:val="nil"/>
            </w:tcBorders>
            <w:vAlign w:val="center"/>
          </w:tcPr>
          <w:p>
            <w:pPr>
              <w:jc w:val="center"/>
              <w:rPr>
                <w:rFonts w:hint="eastAsia" w:ascii="宋体"/>
                <w:color w:val="auto"/>
                <w:szCs w:val="21"/>
                <w:highlight w:val="none"/>
              </w:rPr>
            </w:pPr>
          </w:p>
        </w:tc>
      </w:tr>
    </w:tbl>
    <w:p>
      <w:pPr>
        <w:spacing w:line="440" w:lineRule="exact"/>
        <w:ind w:firstLine="420" w:firstLineChars="200"/>
        <w:rPr>
          <w:rFonts w:hint="eastAsia" w:ascii="宋体"/>
          <w:color w:val="auto"/>
          <w:szCs w:val="21"/>
          <w:highlight w:val="none"/>
        </w:rPr>
      </w:pPr>
      <w:r>
        <w:rPr>
          <w:rFonts w:hint="eastAsia" w:ascii="宋体"/>
          <w:color w:val="auto"/>
          <w:szCs w:val="21"/>
          <w:highlight w:val="none"/>
        </w:rPr>
        <w:t>备注：</w:t>
      </w:r>
      <w:r>
        <w:rPr>
          <w:rFonts w:hint="eastAsia" w:ascii="宋体"/>
          <w:color w:val="auto"/>
          <w:szCs w:val="21"/>
          <w:highlight w:val="none"/>
          <w:lang w:eastAsia="zh-CN"/>
        </w:rPr>
        <w:t>如有需在</w:t>
      </w:r>
      <w:r>
        <w:rPr>
          <w:rFonts w:hint="eastAsia" w:ascii="宋体"/>
          <w:color w:val="auto"/>
          <w:szCs w:val="21"/>
          <w:highlight w:val="none"/>
        </w:rPr>
        <w:t>本表后附合同协议书原件扫描件（或图片）。每张表格只填写一个项目，并标明序号。</w:t>
      </w:r>
    </w:p>
    <w:p>
      <w:pPr>
        <w:rPr>
          <w:color w:val="auto"/>
          <w:highlight w:val="none"/>
        </w:rPr>
      </w:pPr>
    </w:p>
    <w:p>
      <w:pPr>
        <w:rPr>
          <w:color w:val="auto"/>
          <w:highlight w:val="none"/>
        </w:rPr>
      </w:pPr>
    </w:p>
    <w:p>
      <w:pPr>
        <w:spacing w:before="120" w:beforeLines="50" w:after="240" w:afterLines="100" w:line="440" w:lineRule="exact"/>
        <w:jc w:val="center"/>
        <w:rPr>
          <w:rFonts w:hint="eastAsia" w:ascii="宋体"/>
          <w:b/>
          <w:color w:val="auto"/>
          <w:highlight w:val="none"/>
        </w:rPr>
      </w:pPr>
      <w:r>
        <w:rPr>
          <w:rFonts w:hint="eastAsia" w:ascii="黑体" w:eastAsia="黑体"/>
          <w:color w:val="auto"/>
          <w:sz w:val="24"/>
          <w:highlight w:val="none"/>
        </w:rPr>
        <w:br w:type="page"/>
      </w:r>
      <w:r>
        <w:rPr>
          <w:rFonts w:hint="eastAsia" w:ascii="宋体"/>
          <w:b/>
          <w:color w:val="auto"/>
          <w:sz w:val="24"/>
          <w:szCs w:val="32"/>
          <w:highlight w:val="none"/>
        </w:rPr>
        <w:t>（四）近年发生的诉讼和仲裁情况</w:t>
      </w:r>
    </w:p>
    <w:p>
      <w:pPr>
        <w:spacing w:line="440" w:lineRule="exact"/>
        <w:ind w:left="630" w:hanging="630" w:hangingChars="300"/>
        <w:rPr>
          <w:rFonts w:hint="eastAsia" w:ascii="宋体"/>
          <w:color w:val="auto"/>
          <w:szCs w:val="21"/>
          <w:highlight w:val="none"/>
        </w:rPr>
      </w:pPr>
      <w:r>
        <w:rPr>
          <w:rFonts w:hint="eastAsia" w:ascii="宋体"/>
          <w:color w:val="auto"/>
          <w:szCs w:val="21"/>
          <w:highlight w:val="none"/>
        </w:rPr>
        <w:t>说明：近年发生的诉讼和仲裁情况仅限于投标人败诉的，且与履行施工承包合同有关的案件，不包括调解结案以及未裁决的仲裁或未终审判决的诉讼。</w:t>
      </w:r>
    </w:p>
    <w:p>
      <w:pPr>
        <w:rPr>
          <w:color w:val="auto"/>
          <w:highlight w:val="none"/>
        </w:rPr>
      </w:pPr>
    </w:p>
    <w:p>
      <w:pPr>
        <w:rPr>
          <w:color w:val="auto"/>
          <w:highlight w:val="none"/>
        </w:rPr>
      </w:pPr>
    </w:p>
    <w:p>
      <w:pPr>
        <w:spacing w:line="440" w:lineRule="exact"/>
        <w:rPr>
          <w:rFonts w:hint="eastAsia" w:ascii="宋体" w:cs="宋体"/>
          <w:color w:val="auto"/>
          <w:spacing w:val="8"/>
          <w:highlight w:val="none"/>
          <w:lang w:bidi="ar-SA"/>
        </w:rPr>
      </w:pPr>
    </w:p>
    <w:p>
      <w:pPr>
        <w:spacing w:line="440" w:lineRule="exact"/>
        <w:rPr>
          <w:rFonts w:hint="eastAsia" w:ascii="宋体"/>
          <w:color w:val="auto"/>
          <w:szCs w:val="21"/>
          <w:highlight w:val="none"/>
        </w:rPr>
      </w:pPr>
      <w:r>
        <w:rPr>
          <w:rFonts w:hint="eastAsia" w:ascii="宋体"/>
          <w:color w:val="auto"/>
          <w:szCs w:val="21"/>
          <w:highlight w:val="none"/>
        </w:rPr>
        <w:t xml:space="preserve"> </w:t>
      </w:r>
    </w:p>
    <w:p>
      <w:pPr>
        <w:autoSpaceDE w:val="0"/>
        <w:autoSpaceDN w:val="0"/>
        <w:adjustRightInd w:val="0"/>
        <w:spacing w:line="420" w:lineRule="exact"/>
        <w:jc w:val="center"/>
        <w:rPr>
          <w:rFonts w:hint="eastAsia" w:ascii="宋体" w:cs="黑体"/>
          <w:b/>
          <w:color w:val="auto"/>
          <w:kern w:val="0"/>
          <w:szCs w:val="21"/>
          <w:highlight w:val="none"/>
          <w:lang w:bidi="ar-SA"/>
        </w:rPr>
      </w:pPr>
    </w:p>
    <w:p>
      <w:pPr>
        <w:autoSpaceDE w:val="0"/>
        <w:autoSpaceDN w:val="0"/>
        <w:adjustRightInd w:val="0"/>
        <w:spacing w:line="420" w:lineRule="exact"/>
        <w:jc w:val="center"/>
        <w:rPr>
          <w:rFonts w:hint="eastAsia" w:ascii="宋体" w:cs="黑体"/>
          <w:b/>
          <w:color w:val="auto"/>
          <w:kern w:val="0"/>
          <w:szCs w:val="21"/>
          <w:highlight w:val="none"/>
          <w:lang w:bidi="ar-SA"/>
        </w:rPr>
      </w:pPr>
    </w:p>
    <w:p>
      <w:pPr>
        <w:pStyle w:val="2"/>
        <w:rPr>
          <w:rFonts w:hint="eastAsia" w:ascii="宋体" w:cs="黑体"/>
          <w:b/>
          <w:color w:val="auto"/>
          <w:kern w:val="0"/>
          <w:szCs w:val="21"/>
          <w:highlight w:val="none"/>
          <w:lang w:bidi="ar-SA"/>
        </w:rPr>
      </w:pPr>
    </w:p>
    <w:p>
      <w:pPr>
        <w:rPr>
          <w:rFonts w:hint="eastAsia" w:ascii="宋体" w:cs="黑体"/>
          <w:b/>
          <w:color w:val="auto"/>
          <w:kern w:val="0"/>
          <w:szCs w:val="21"/>
          <w:highlight w:val="none"/>
          <w:lang w:bidi="ar-SA"/>
        </w:rPr>
      </w:pPr>
    </w:p>
    <w:p>
      <w:pPr>
        <w:pStyle w:val="2"/>
        <w:rPr>
          <w:rFonts w:hint="eastAsia" w:ascii="宋体" w:cs="黑体"/>
          <w:b/>
          <w:color w:val="auto"/>
          <w:kern w:val="0"/>
          <w:szCs w:val="21"/>
          <w:highlight w:val="none"/>
          <w:lang w:bidi="ar-SA"/>
        </w:rPr>
      </w:pPr>
    </w:p>
    <w:p>
      <w:pPr>
        <w:rPr>
          <w:rFonts w:hint="eastAsia" w:ascii="宋体" w:cs="黑体"/>
          <w:b/>
          <w:color w:val="auto"/>
          <w:kern w:val="0"/>
          <w:szCs w:val="21"/>
          <w:highlight w:val="none"/>
          <w:lang w:bidi="ar-SA"/>
        </w:rPr>
      </w:pPr>
    </w:p>
    <w:p>
      <w:pPr>
        <w:pStyle w:val="2"/>
        <w:rPr>
          <w:rFonts w:hint="eastAsia" w:ascii="宋体" w:cs="黑体"/>
          <w:b/>
          <w:color w:val="auto"/>
          <w:kern w:val="0"/>
          <w:szCs w:val="21"/>
          <w:highlight w:val="none"/>
          <w:lang w:bidi="ar-SA"/>
        </w:rPr>
      </w:pPr>
    </w:p>
    <w:p>
      <w:pPr>
        <w:rPr>
          <w:rFonts w:hint="eastAsia" w:ascii="宋体" w:cs="黑体"/>
          <w:b/>
          <w:color w:val="auto"/>
          <w:kern w:val="0"/>
          <w:szCs w:val="21"/>
          <w:highlight w:val="none"/>
          <w:lang w:bidi="ar-SA"/>
        </w:rPr>
      </w:pPr>
    </w:p>
    <w:p>
      <w:pPr>
        <w:pStyle w:val="2"/>
        <w:rPr>
          <w:rFonts w:hint="eastAsia" w:ascii="宋体" w:cs="黑体"/>
          <w:b/>
          <w:color w:val="auto"/>
          <w:kern w:val="0"/>
          <w:szCs w:val="21"/>
          <w:highlight w:val="none"/>
          <w:lang w:bidi="ar-SA"/>
        </w:rPr>
      </w:pPr>
    </w:p>
    <w:p>
      <w:pPr>
        <w:rPr>
          <w:rFonts w:hint="eastAsia" w:ascii="宋体" w:cs="黑体"/>
          <w:b/>
          <w:color w:val="auto"/>
          <w:kern w:val="0"/>
          <w:szCs w:val="21"/>
          <w:highlight w:val="none"/>
          <w:lang w:bidi="ar-SA"/>
        </w:rPr>
      </w:pPr>
    </w:p>
    <w:p>
      <w:pPr>
        <w:pStyle w:val="2"/>
        <w:rPr>
          <w:rFonts w:hint="eastAsia" w:ascii="宋体" w:cs="黑体"/>
          <w:b/>
          <w:color w:val="auto"/>
          <w:kern w:val="0"/>
          <w:szCs w:val="21"/>
          <w:highlight w:val="none"/>
          <w:lang w:bidi="ar-SA"/>
        </w:rPr>
      </w:pPr>
    </w:p>
    <w:p>
      <w:pPr>
        <w:rPr>
          <w:rFonts w:hint="eastAsia" w:ascii="宋体" w:cs="黑体"/>
          <w:b/>
          <w:color w:val="auto"/>
          <w:kern w:val="0"/>
          <w:szCs w:val="21"/>
          <w:highlight w:val="none"/>
          <w:lang w:bidi="ar-SA"/>
        </w:rPr>
      </w:pPr>
    </w:p>
    <w:p>
      <w:pPr>
        <w:pStyle w:val="2"/>
        <w:rPr>
          <w:rFonts w:hint="eastAsia" w:ascii="宋体" w:cs="黑体"/>
          <w:b/>
          <w:color w:val="auto"/>
          <w:kern w:val="0"/>
          <w:szCs w:val="21"/>
          <w:highlight w:val="none"/>
          <w:lang w:bidi="ar-SA"/>
        </w:rPr>
      </w:pPr>
    </w:p>
    <w:p>
      <w:pPr>
        <w:rPr>
          <w:rFonts w:hint="eastAsia" w:ascii="宋体" w:cs="黑体"/>
          <w:b/>
          <w:color w:val="auto"/>
          <w:kern w:val="0"/>
          <w:szCs w:val="21"/>
          <w:highlight w:val="none"/>
          <w:lang w:bidi="ar-SA"/>
        </w:rPr>
      </w:pPr>
    </w:p>
    <w:p>
      <w:pPr>
        <w:pStyle w:val="2"/>
        <w:rPr>
          <w:rFonts w:hint="eastAsia" w:ascii="宋体" w:cs="黑体"/>
          <w:b/>
          <w:color w:val="auto"/>
          <w:kern w:val="0"/>
          <w:szCs w:val="21"/>
          <w:highlight w:val="none"/>
          <w:lang w:bidi="ar-SA"/>
        </w:rPr>
      </w:pPr>
    </w:p>
    <w:p>
      <w:pPr>
        <w:rPr>
          <w:rFonts w:hint="eastAsia" w:ascii="宋体" w:cs="黑体"/>
          <w:b/>
          <w:color w:val="auto"/>
          <w:kern w:val="0"/>
          <w:szCs w:val="21"/>
          <w:highlight w:val="none"/>
          <w:lang w:bidi="ar-SA"/>
        </w:rPr>
      </w:pPr>
    </w:p>
    <w:p>
      <w:pPr>
        <w:pStyle w:val="2"/>
        <w:rPr>
          <w:rFonts w:hint="eastAsia" w:ascii="宋体" w:cs="黑体"/>
          <w:b/>
          <w:color w:val="auto"/>
          <w:kern w:val="0"/>
          <w:szCs w:val="21"/>
          <w:highlight w:val="none"/>
          <w:lang w:bidi="ar-SA"/>
        </w:rPr>
      </w:pPr>
    </w:p>
    <w:p>
      <w:pPr>
        <w:rPr>
          <w:rFonts w:hint="eastAsia" w:ascii="宋体" w:cs="黑体"/>
          <w:b/>
          <w:color w:val="auto"/>
          <w:kern w:val="0"/>
          <w:szCs w:val="21"/>
          <w:highlight w:val="none"/>
          <w:lang w:bidi="ar-SA"/>
        </w:rPr>
      </w:pPr>
    </w:p>
    <w:p>
      <w:pPr>
        <w:pStyle w:val="2"/>
        <w:rPr>
          <w:rFonts w:hint="eastAsia" w:ascii="宋体" w:cs="黑体"/>
          <w:b/>
          <w:color w:val="auto"/>
          <w:kern w:val="0"/>
          <w:szCs w:val="21"/>
          <w:highlight w:val="none"/>
          <w:lang w:bidi="ar-SA"/>
        </w:rPr>
      </w:pPr>
    </w:p>
    <w:p>
      <w:pPr>
        <w:rPr>
          <w:rFonts w:hint="eastAsia" w:ascii="宋体" w:cs="黑体"/>
          <w:b/>
          <w:color w:val="auto"/>
          <w:kern w:val="0"/>
          <w:szCs w:val="21"/>
          <w:highlight w:val="none"/>
          <w:lang w:bidi="ar-SA"/>
        </w:rPr>
      </w:pPr>
    </w:p>
    <w:p>
      <w:pPr>
        <w:pStyle w:val="2"/>
        <w:rPr>
          <w:rFonts w:hint="eastAsia" w:ascii="宋体" w:cs="黑体"/>
          <w:b/>
          <w:color w:val="auto"/>
          <w:kern w:val="0"/>
          <w:szCs w:val="21"/>
          <w:highlight w:val="none"/>
          <w:lang w:bidi="ar-SA"/>
        </w:rPr>
      </w:pPr>
    </w:p>
    <w:p>
      <w:pPr>
        <w:rPr>
          <w:rFonts w:hint="eastAsia" w:ascii="宋体" w:cs="黑体"/>
          <w:b/>
          <w:color w:val="auto"/>
          <w:kern w:val="0"/>
          <w:szCs w:val="21"/>
          <w:highlight w:val="none"/>
          <w:lang w:bidi="ar-SA"/>
        </w:rPr>
      </w:pPr>
    </w:p>
    <w:p>
      <w:pPr>
        <w:pStyle w:val="2"/>
        <w:rPr>
          <w:rFonts w:hint="eastAsia" w:ascii="宋体" w:cs="黑体"/>
          <w:b/>
          <w:color w:val="auto"/>
          <w:kern w:val="0"/>
          <w:szCs w:val="21"/>
          <w:highlight w:val="none"/>
          <w:lang w:bidi="ar-SA"/>
        </w:rPr>
      </w:pPr>
    </w:p>
    <w:p>
      <w:pPr>
        <w:rPr>
          <w:rFonts w:hint="eastAsia" w:ascii="宋体" w:cs="黑体"/>
          <w:b/>
          <w:color w:val="auto"/>
          <w:kern w:val="0"/>
          <w:szCs w:val="21"/>
          <w:highlight w:val="none"/>
          <w:lang w:bidi="ar-SA"/>
        </w:rPr>
      </w:pPr>
    </w:p>
    <w:p>
      <w:pPr>
        <w:pStyle w:val="2"/>
        <w:rPr>
          <w:rFonts w:hint="eastAsia"/>
          <w:color w:val="auto"/>
          <w:highlight w:val="none"/>
        </w:rPr>
      </w:pPr>
    </w:p>
    <w:p>
      <w:pPr>
        <w:autoSpaceDE w:val="0"/>
        <w:autoSpaceDN w:val="0"/>
        <w:adjustRightInd w:val="0"/>
        <w:spacing w:line="420" w:lineRule="exact"/>
        <w:jc w:val="center"/>
        <w:rPr>
          <w:rFonts w:hint="eastAsia" w:ascii="宋体" w:cs="黑体"/>
          <w:b/>
          <w:color w:val="auto"/>
          <w:kern w:val="0"/>
          <w:szCs w:val="21"/>
          <w:highlight w:val="none"/>
          <w:lang w:bidi="ar-SA"/>
        </w:rPr>
      </w:pPr>
      <w:r>
        <w:rPr>
          <w:rFonts w:hint="eastAsia" w:ascii="宋体" w:cs="黑体"/>
          <w:b/>
          <w:color w:val="auto"/>
          <w:kern w:val="0"/>
          <w:szCs w:val="21"/>
          <w:highlight w:val="none"/>
          <w:lang w:bidi="ar-SA"/>
        </w:rPr>
        <w:t xml:space="preserve"> </w:t>
      </w:r>
    </w:p>
    <w:p>
      <w:pPr>
        <w:pStyle w:val="9"/>
        <w:keepNext/>
        <w:keepLines/>
        <w:widowControl/>
        <w:ind w:left="178" w:leftChars="85"/>
        <w:jc w:val="center"/>
        <w:rPr>
          <w:rFonts w:hint="eastAsia" w:ascii="新宋体" w:eastAsia="新宋体" w:cs="新宋体"/>
          <w:color w:val="auto"/>
          <w:sz w:val="24"/>
          <w:szCs w:val="24"/>
          <w:highlight w:val="none"/>
          <w:lang w:bidi="ar-SA"/>
        </w:rPr>
      </w:pPr>
      <w:bookmarkStart w:id="968" w:name="_Toc140"/>
      <w:bookmarkStart w:id="969" w:name="_Toc8232"/>
      <w:bookmarkStart w:id="970" w:name="_Toc472613228"/>
      <w:bookmarkStart w:id="971" w:name="_Toc353702096"/>
      <w:bookmarkStart w:id="972" w:name="_Toc19130"/>
      <w:bookmarkStart w:id="973" w:name="_Toc422242273"/>
      <w:bookmarkStart w:id="974" w:name="_Toc10156_WPSOffice_Level1"/>
      <w:r>
        <w:rPr>
          <w:rFonts w:hint="eastAsia" w:ascii="新宋体" w:eastAsia="新宋体" w:cs="新宋体"/>
          <w:color w:val="auto"/>
          <w:sz w:val="24"/>
          <w:szCs w:val="24"/>
          <w:highlight w:val="none"/>
          <w:lang w:bidi="ar-SA"/>
        </w:rPr>
        <w:t>九、其他材料</w:t>
      </w:r>
      <w:bookmarkEnd w:id="968"/>
      <w:bookmarkEnd w:id="969"/>
      <w:bookmarkEnd w:id="970"/>
      <w:bookmarkEnd w:id="971"/>
      <w:bookmarkEnd w:id="972"/>
      <w:bookmarkEnd w:id="973"/>
      <w:bookmarkEnd w:id="974"/>
    </w:p>
    <w:bookmarkEnd w:id="964"/>
    <w:bookmarkEnd w:id="965"/>
    <w:bookmarkEnd w:id="966"/>
    <w:bookmarkEnd w:id="967"/>
    <w:p>
      <w:pPr>
        <w:rPr>
          <w:rFonts w:hint="eastAsia" w:ascii="新宋体" w:eastAsia="新宋体" w:cs="新宋体"/>
          <w:b/>
          <w:color w:val="auto"/>
          <w:sz w:val="24"/>
          <w:highlight w:val="none"/>
          <w:lang w:bidi="ar-SA"/>
        </w:rPr>
      </w:pPr>
      <w:bookmarkStart w:id="975" w:name="_Toc6799"/>
      <w:bookmarkStart w:id="976" w:name="_Toc517340907"/>
    </w:p>
    <w:bookmarkEnd w:id="975"/>
    <w:bookmarkEnd w:id="976"/>
    <w:p>
      <w:pPr>
        <w:spacing w:line="600" w:lineRule="exact"/>
        <w:jc w:val="center"/>
        <w:rPr>
          <w:rFonts w:hint="eastAsia" w:asciiTheme="minorEastAsia" w:hAnsiTheme="minorEastAsia" w:eastAsiaTheme="minorEastAsia" w:cstheme="minorEastAsia"/>
          <w:b/>
          <w:bCs/>
          <w:color w:val="000000"/>
          <w:sz w:val="44"/>
          <w:szCs w:val="44"/>
          <w:highlight w:val="none"/>
        </w:rPr>
      </w:pPr>
      <w:r>
        <w:rPr>
          <w:rFonts w:hint="eastAsia" w:asciiTheme="minorEastAsia" w:hAnsiTheme="minorEastAsia" w:eastAsiaTheme="minorEastAsia" w:cstheme="minorEastAsia"/>
          <w:b/>
          <w:bCs/>
          <w:color w:val="000000"/>
          <w:sz w:val="44"/>
          <w:szCs w:val="44"/>
          <w:highlight w:val="none"/>
        </w:rPr>
        <w:t>全省房屋建筑和市政基础设施工程项目</w:t>
      </w:r>
    </w:p>
    <w:p>
      <w:pPr>
        <w:spacing w:line="600" w:lineRule="exact"/>
        <w:jc w:val="center"/>
        <w:rPr>
          <w:rFonts w:hint="eastAsia" w:asciiTheme="minorEastAsia" w:hAnsiTheme="minorEastAsia" w:eastAsiaTheme="minorEastAsia" w:cstheme="minorEastAsia"/>
          <w:b/>
          <w:bCs/>
          <w:color w:val="000000"/>
          <w:sz w:val="44"/>
          <w:szCs w:val="44"/>
          <w:highlight w:val="none"/>
        </w:rPr>
      </w:pPr>
      <w:r>
        <w:rPr>
          <w:rFonts w:hint="eastAsia" w:asciiTheme="minorEastAsia" w:hAnsiTheme="minorEastAsia" w:eastAsiaTheme="minorEastAsia" w:cstheme="minorEastAsia"/>
          <w:b/>
          <w:bCs/>
          <w:color w:val="000000"/>
          <w:sz w:val="44"/>
          <w:szCs w:val="44"/>
          <w:highlight w:val="none"/>
        </w:rPr>
        <w:t>招标投标活动承诺书</w:t>
      </w:r>
    </w:p>
    <w:p>
      <w:pPr>
        <w:jc w:val="center"/>
        <w:rPr>
          <w:rFonts w:hint="eastAsia" w:asciiTheme="minorEastAsia" w:hAnsiTheme="minorEastAsia" w:eastAsiaTheme="minorEastAsia" w:cstheme="minorEastAsia"/>
          <w:sz w:val="44"/>
          <w:szCs w:val="44"/>
          <w:highlight w:val="none"/>
        </w:rPr>
      </w:pPr>
    </w:p>
    <w:p>
      <w:pPr>
        <w:spacing w:line="580" w:lineRule="exact"/>
        <w:ind w:firstLine="470"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我单位承诺，在项目招投标活动中，自觉遵守《中华人民共和国招标投标法》、《中华人民共和国招标投标法实施条例》、河南省实施《中华人民共和国招标投标法》办法等招标投标相关法律、法规和制度规定，如有违反，愿承担相关法律责任。</w:t>
      </w:r>
    </w:p>
    <w:p>
      <w:pPr>
        <w:rPr>
          <w:rFonts w:hint="eastAsia" w:asciiTheme="minorEastAsia" w:hAnsiTheme="minorEastAsia" w:eastAsiaTheme="minorEastAsia" w:cstheme="minorEastAsia"/>
          <w:sz w:val="24"/>
          <w:szCs w:val="24"/>
          <w:highlight w:val="none"/>
        </w:rPr>
      </w:pPr>
    </w:p>
    <w:p>
      <w:pPr>
        <w:rPr>
          <w:rFonts w:hint="eastAsia" w:asciiTheme="minorEastAsia" w:hAnsiTheme="minorEastAsia" w:eastAsiaTheme="minorEastAsia" w:cstheme="minorEastAsia"/>
          <w:sz w:val="24"/>
          <w:szCs w:val="24"/>
          <w:highlight w:val="none"/>
        </w:rPr>
      </w:pPr>
    </w:p>
    <w:p>
      <w:pPr>
        <w:rPr>
          <w:rFonts w:hint="eastAsia" w:asciiTheme="minorEastAsia" w:hAnsiTheme="minorEastAsia" w:eastAsiaTheme="minorEastAsia" w:cstheme="minorEastAsia"/>
          <w:sz w:val="24"/>
          <w:szCs w:val="24"/>
          <w:highlight w:val="none"/>
        </w:rPr>
      </w:pPr>
    </w:p>
    <w:p>
      <w:pPr>
        <w:rPr>
          <w:rFonts w:hint="eastAsia" w:asciiTheme="minorEastAsia" w:hAnsiTheme="minorEastAsia" w:eastAsiaTheme="minorEastAsia" w:cstheme="minorEastAsia"/>
          <w:sz w:val="24"/>
          <w:szCs w:val="24"/>
          <w:highlight w:val="none"/>
        </w:rPr>
      </w:pPr>
    </w:p>
    <w:p>
      <w:pPr>
        <w:rPr>
          <w:rFonts w:hint="eastAsia" w:asciiTheme="minorEastAsia" w:hAnsiTheme="minorEastAsia" w:eastAsiaTheme="minorEastAsia" w:cstheme="minorEastAsia"/>
          <w:sz w:val="24"/>
          <w:szCs w:val="24"/>
          <w:highlight w:val="none"/>
        </w:rPr>
      </w:pPr>
    </w:p>
    <w:p>
      <w:pPr>
        <w:ind w:firstLine="2880" w:firstLineChars="1200"/>
        <w:rPr>
          <w:rFonts w:hint="eastAsia"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承诺人（法人或委托代理人）（签字）：</w:t>
      </w:r>
    </w:p>
    <w:p>
      <w:pPr>
        <w:ind w:firstLine="240" w:firstLineChars="100"/>
        <w:rPr>
          <w:rFonts w:hint="eastAsia" w:asciiTheme="minorEastAsia" w:hAnsiTheme="minorEastAsia" w:eastAsiaTheme="minorEastAsia" w:cstheme="minorEastAsia"/>
          <w:sz w:val="24"/>
          <w:szCs w:val="24"/>
          <w:highlight w:val="none"/>
        </w:rPr>
      </w:pPr>
    </w:p>
    <w:p>
      <w:pPr>
        <w:ind w:firstLine="2880" w:firstLineChars="1200"/>
        <w:rPr>
          <w:rFonts w:hint="eastAsia"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 xml:space="preserve">联   系   电   话：               </w:t>
      </w:r>
    </w:p>
    <w:p>
      <w:pPr>
        <w:rPr>
          <w:rFonts w:hint="eastAsia" w:asciiTheme="minorEastAsia" w:hAnsiTheme="minorEastAsia" w:eastAsiaTheme="minorEastAsia" w:cstheme="minorEastAsia"/>
          <w:sz w:val="24"/>
          <w:szCs w:val="24"/>
          <w:highlight w:val="none"/>
        </w:rPr>
      </w:pPr>
    </w:p>
    <w:p>
      <w:pPr>
        <w:ind w:firstLine="2880" w:firstLineChars="1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承诺人（盖章）</w:t>
      </w:r>
      <w:r>
        <w:rPr>
          <w:rFonts w:hint="eastAsia" w:asciiTheme="minorEastAsia" w:hAnsiTheme="minorEastAsia" w:eastAsiaTheme="minorEastAsia" w:cstheme="minorEastAsia"/>
          <w:sz w:val="24"/>
          <w:szCs w:val="24"/>
          <w:highlight w:val="none"/>
          <w:lang w:eastAsia="zh-CN"/>
        </w:rPr>
        <w:t>：</w:t>
      </w:r>
    </w:p>
    <w:p>
      <w:pPr>
        <w:rPr>
          <w:rFonts w:hint="eastAsia" w:asciiTheme="minorEastAsia" w:hAnsiTheme="minorEastAsia" w:eastAsiaTheme="minorEastAsia" w:cstheme="minorEastAsia"/>
          <w:sz w:val="24"/>
          <w:szCs w:val="24"/>
          <w:highlight w:val="none"/>
        </w:rPr>
      </w:pPr>
    </w:p>
    <w:p>
      <w:pPr>
        <w:ind w:firstLine="3960" w:firstLineChars="16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日</w:t>
      </w:r>
    </w:p>
    <w:p>
      <w:pPr>
        <w:pStyle w:val="14"/>
        <w:rPr>
          <w:highlight w:val="none"/>
        </w:rPr>
      </w:pPr>
    </w:p>
    <w:p>
      <w:pPr>
        <w:rPr>
          <w:b/>
          <w:bCs/>
          <w:color w:val="auto"/>
          <w:sz w:val="28"/>
          <w:szCs w:val="36"/>
          <w:highlight w:val="none"/>
        </w:rPr>
      </w:pPr>
    </w:p>
    <w:p>
      <w:pPr>
        <w:jc w:val="both"/>
        <w:rPr>
          <w:rFonts w:hint="eastAsia" w:ascii="方正小标宋简体" w:hAnsi="方正小标宋简体" w:eastAsia="方正小标宋简体" w:cs="方正小标宋简体"/>
          <w:color w:val="auto"/>
          <w:sz w:val="44"/>
          <w:szCs w:val="44"/>
          <w:highlight w:val="none"/>
          <w:lang w:val="en-US" w:eastAsia="zh-CN"/>
        </w:rPr>
      </w:pPr>
      <w:r>
        <w:rPr>
          <w:b/>
          <w:bCs/>
          <w:color w:val="auto"/>
          <w:sz w:val="28"/>
          <w:szCs w:val="36"/>
          <w:highlight w:val="none"/>
        </w:rPr>
        <w:br w:type="page"/>
      </w:r>
    </w:p>
    <w:p>
      <w:pPr>
        <w:rPr>
          <w:b/>
          <w:bCs/>
          <w:color w:val="auto"/>
          <w:sz w:val="28"/>
          <w:szCs w:val="36"/>
          <w:highlight w:val="none"/>
        </w:rPr>
      </w:pPr>
    </w:p>
    <w:p>
      <w:pPr>
        <w:pStyle w:val="2"/>
        <w:rPr>
          <w:highlight w:val="none"/>
        </w:rPr>
      </w:pPr>
    </w:p>
    <w:p>
      <w:pPr>
        <w:jc w:val="center"/>
        <w:rPr>
          <w:b/>
          <w:bCs/>
          <w:color w:val="auto"/>
          <w:sz w:val="28"/>
          <w:szCs w:val="36"/>
          <w:highlight w:val="none"/>
        </w:rPr>
      </w:pPr>
      <w:r>
        <w:rPr>
          <w:b/>
          <w:bCs/>
          <w:color w:val="auto"/>
          <w:sz w:val="28"/>
          <w:szCs w:val="36"/>
          <w:highlight w:val="none"/>
        </w:rPr>
        <w:t>全流程电子化交易注意事项</w:t>
      </w:r>
    </w:p>
    <w:p>
      <w:pPr>
        <w:spacing w:line="500" w:lineRule="exact"/>
        <w:ind w:firstLine="420" w:firstLineChars="200"/>
        <w:rPr>
          <w:color w:val="auto"/>
          <w:highlight w:val="none"/>
        </w:rPr>
      </w:pPr>
      <w:r>
        <w:rPr>
          <w:color w:val="auto"/>
          <w:highlight w:val="none"/>
        </w:rPr>
        <w:t>电子化交易项目投标文件是投标人、</w:t>
      </w:r>
      <w:r>
        <w:rPr>
          <w:rFonts w:hint="eastAsia"/>
          <w:color w:val="auto"/>
          <w:highlight w:val="none"/>
        </w:rPr>
        <w:t>投标人</w:t>
      </w:r>
      <w:r>
        <w:rPr>
          <w:color w:val="auto"/>
          <w:highlight w:val="none"/>
        </w:rPr>
        <w:t>（以下简称“投标人”）通过中心投标文件制作系统制作，并 经过签章和加密后生成的电子版投标文件。（电子化投标文件具体制作教材请投标人通过 CA 证书登录公共资 源电子化交易系统在右上角“组件下载”中查看）制作电子化投标文件，需仔细阅读以下条款。 一、电子化投标</w:t>
      </w:r>
    </w:p>
    <w:p>
      <w:pPr>
        <w:spacing w:line="500" w:lineRule="exact"/>
        <w:ind w:firstLine="420" w:firstLineChars="200"/>
        <w:rPr>
          <w:color w:val="auto"/>
          <w:highlight w:val="none"/>
        </w:rPr>
      </w:pPr>
      <w:r>
        <w:rPr>
          <w:color w:val="auto"/>
          <w:highlight w:val="none"/>
        </w:rPr>
        <w:t>（一）网上投标保证金的缴纳</w:t>
      </w:r>
    </w:p>
    <w:p>
      <w:pPr>
        <w:spacing w:line="500" w:lineRule="exact"/>
        <w:ind w:firstLine="420" w:firstLineChars="200"/>
        <w:rPr>
          <w:color w:val="auto"/>
          <w:highlight w:val="none"/>
        </w:rPr>
      </w:pPr>
      <w:r>
        <w:rPr>
          <w:color w:val="auto"/>
          <w:highlight w:val="none"/>
        </w:rPr>
        <w:t>1、递交形式: 投标人的投标保证金必须通过投标人基本账户以转账或电汇的形式缴纳（账户必须是已加入平 顶山市公共资源交易投标人或</w:t>
      </w:r>
      <w:r>
        <w:rPr>
          <w:rFonts w:hint="eastAsia"/>
          <w:color w:val="auto"/>
          <w:highlight w:val="none"/>
        </w:rPr>
        <w:t>投标人</w:t>
      </w:r>
      <w:r>
        <w:rPr>
          <w:color w:val="auto"/>
          <w:highlight w:val="none"/>
        </w:rPr>
        <w:t>诚信库中的账户）。</w:t>
      </w:r>
    </w:p>
    <w:p>
      <w:pPr>
        <w:spacing w:line="500" w:lineRule="exact"/>
        <w:ind w:firstLine="420" w:firstLineChars="200"/>
        <w:rPr>
          <w:color w:val="auto"/>
          <w:highlight w:val="none"/>
        </w:rPr>
      </w:pPr>
      <w:r>
        <w:rPr>
          <w:color w:val="auto"/>
          <w:highlight w:val="none"/>
        </w:rPr>
        <w:t>2、投标人缴纳投标保证金后，应在规定的缴纳截止时间前通过平顶山市公共资源电子化交易系统将保证金成 功绑定至所投标项目和标段。保证金绑定操作手册，请登录平顶山市公共资源交易中心网站在办事指南中网 上投标栏目查看。</w:t>
      </w:r>
    </w:p>
    <w:p>
      <w:pPr>
        <w:spacing w:line="500" w:lineRule="exact"/>
        <w:ind w:firstLine="420" w:firstLineChars="200"/>
        <w:rPr>
          <w:color w:val="auto"/>
          <w:highlight w:val="none"/>
        </w:rPr>
      </w:pPr>
      <w:r>
        <w:rPr>
          <w:color w:val="auto"/>
          <w:highlight w:val="none"/>
        </w:rPr>
        <w:t>3、投标人在成功绑定后，可以将系统生成的回执单图片制作在投标文件中，作为缴纳保证金的依据。</w:t>
      </w:r>
    </w:p>
    <w:p>
      <w:pPr>
        <w:spacing w:line="500" w:lineRule="exact"/>
        <w:ind w:firstLine="420" w:firstLineChars="200"/>
        <w:rPr>
          <w:color w:val="auto"/>
          <w:highlight w:val="none"/>
        </w:rPr>
      </w:pPr>
      <w:r>
        <w:rPr>
          <w:color w:val="auto"/>
          <w:highlight w:val="none"/>
        </w:rPr>
        <w:t>4、投标人应仔细阅读操作手册并充分考虑异地跨行转账到账时间等因素，因投标人操作不当或银行到账时间 等问题造成保证金无法正常绑定影响投标的，由投标人自行承担后果。</w:t>
      </w:r>
    </w:p>
    <w:p>
      <w:pPr>
        <w:spacing w:line="500" w:lineRule="exact"/>
        <w:ind w:firstLine="420" w:firstLineChars="200"/>
        <w:rPr>
          <w:color w:val="auto"/>
          <w:highlight w:val="none"/>
        </w:rPr>
      </w:pPr>
      <w:r>
        <w:rPr>
          <w:color w:val="auto"/>
          <w:highlight w:val="none"/>
        </w:rPr>
        <w:t>5、未中标投标人的投标保证金在项目结束后，由中介服务机构向中心</w:t>
      </w:r>
      <w:r>
        <w:rPr>
          <w:rFonts w:hint="eastAsia"/>
          <w:color w:val="auto"/>
          <w:highlight w:val="none"/>
          <w:lang w:eastAsia="zh-CN"/>
        </w:rPr>
        <w:t>项目经理</w:t>
      </w:r>
      <w:r>
        <w:rPr>
          <w:color w:val="auto"/>
          <w:highlight w:val="none"/>
        </w:rPr>
        <w:t>提出退款申请，</w:t>
      </w:r>
      <w:r>
        <w:rPr>
          <w:rFonts w:hint="eastAsia"/>
          <w:color w:val="auto"/>
          <w:highlight w:val="none"/>
          <w:lang w:eastAsia="zh-CN"/>
        </w:rPr>
        <w:t>项目经理</w:t>
      </w:r>
      <w:r>
        <w:rPr>
          <w:color w:val="auto"/>
          <w:highlight w:val="none"/>
        </w:rPr>
        <w:t xml:space="preserve"> 同意并经财务部门核对后，通过中心交易平台退还给投标人。</w:t>
      </w:r>
    </w:p>
    <w:p>
      <w:pPr>
        <w:spacing w:line="500" w:lineRule="exact"/>
        <w:ind w:firstLine="420" w:firstLineChars="200"/>
        <w:rPr>
          <w:color w:val="auto"/>
          <w:highlight w:val="none"/>
        </w:rPr>
      </w:pPr>
      <w:r>
        <w:rPr>
          <w:color w:val="auto"/>
          <w:highlight w:val="none"/>
        </w:rPr>
        <w:t>（二）电子化投标文件的签章</w:t>
      </w:r>
    </w:p>
    <w:p>
      <w:pPr>
        <w:spacing w:line="500" w:lineRule="exact"/>
        <w:ind w:firstLine="420" w:firstLineChars="200"/>
        <w:rPr>
          <w:color w:val="auto"/>
          <w:highlight w:val="none"/>
        </w:rPr>
      </w:pPr>
      <w:r>
        <w:rPr>
          <w:color w:val="auto"/>
          <w:highlight w:val="none"/>
        </w:rPr>
        <w:t>1、投标人在生成电子化投标文件后，应对电子化投标文件进行签章，未进行签章的视为无效投标。</w:t>
      </w:r>
    </w:p>
    <w:p>
      <w:pPr>
        <w:spacing w:line="500" w:lineRule="exact"/>
        <w:ind w:firstLine="420" w:firstLineChars="200"/>
        <w:rPr>
          <w:color w:val="auto"/>
          <w:highlight w:val="none"/>
        </w:rPr>
      </w:pPr>
      <w:r>
        <w:rPr>
          <w:color w:val="auto"/>
          <w:highlight w:val="none"/>
        </w:rPr>
        <w:t>2、招标文件中要求法定代表人或授权委托人签字或盖章的，投标人在进行电子化投标文件签章时，以签盖法 定代表人签章为准。电子化投标文件具体制作教材请投标人通过 CA 证书登录平顶山市公共资源电子化交易系 统在右上角“组建下载”中查看。</w:t>
      </w:r>
    </w:p>
    <w:p>
      <w:pPr>
        <w:spacing w:line="500" w:lineRule="exact"/>
        <w:ind w:firstLine="420" w:firstLineChars="200"/>
        <w:rPr>
          <w:color w:val="auto"/>
          <w:highlight w:val="none"/>
        </w:rPr>
      </w:pPr>
      <w:r>
        <w:rPr>
          <w:color w:val="auto"/>
          <w:highlight w:val="none"/>
        </w:rPr>
        <w:t>（三）电子化投标文件的格式及上传投标</w:t>
      </w:r>
    </w:p>
    <w:p>
      <w:pPr>
        <w:spacing w:line="500" w:lineRule="exact"/>
        <w:ind w:firstLine="420" w:firstLineChars="200"/>
        <w:rPr>
          <w:color w:val="auto"/>
          <w:highlight w:val="none"/>
        </w:rPr>
      </w:pPr>
      <w:r>
        <w:rPr>
          <w:color w:val="auto"/>
          <w:highlight w:val="none"/>
        </w:rPr>
        <w:t>1、投标人所上传的电子化投标文件，应是通过中心投标文件制作系统制作的，经过签章和加密后生成的电子 版投标文件。生成的电子版投标文件包含用于投标文件上传的主文件（项目文件格式为：xxx 公司_ 项目名 称.file）和用于应急补救的投标文件备份文件（项目文件格式为：xxx 公司_ 项目名称.bin），备份文件主 要用于电子化开标出现技术问题后的补救，请投标人随身携带。 注：（1）投标人投报多个标段的，根据标段制作各个标段的投标文件后上传</w:t>
      </w:r>
    </w:p>
    <w:p>
      <w:pPr>
        <w:spacing w:line="500" w:lineRule="exact"/>
        <w:ind w:firstLine="420" w:firstLineChars="200"/>
        <w:rPr>
          <w:color w:val="auto"/>
          <w:highlight w:val="none"/>
        </w:rPr>
      </w:pPr>
      <w:r>
        <w:rPr>
          <w:color w:val="auto"/>
          <w:highlight w:val="none"/>
        </w:rPr>
        <w:t>2、电子化投标文件应在投标截止时间前成功上传至平顶山市公共资源电子化交易系统。至投标截止时间止， 仍未上传成功的电子化投标文件将不予接收。 注：如按照电子化投标操作教材制作完成的电子化投标文件无法上传的，投标人应在投标截止时间前尽早的 联系中心技术人员，以便有充分的时间进行处理。投标人应充分考虑到处理技术问题和上传数据等工作所需 的时间问题，投标文件未在投标截止时间前成功上传的，其投标文件不予接收。</w:t>
      </w:r>
    </w:p>
    <w:p>
      <w:pPr>
        <w:spacing w:line="500" w:lineRule="exact"/>
        <w:ind w:firstLine="420" w:firstLineChars="200"/>
        <w:rPr>
          <w:color w:val="auto"/>
          <w:highlight w:val="none"/>
        </w:rPr>
      </w:pPr>
      <w:r>
        <w:rPr>
          <w:color w:val="auto"/>
          <w:highlight w:val="none"/>
        </w:rPr>
        <w:t>（四）电子化项目开标、解密、唱标、评标</w:t>
      </w:r>
    </w:p>
    <w:p>
      <w:pPr>
        <w:spacing w:line="500" w:lineRule="exact"/>
        <w:ind w:firstLine="420" w:firstLineChars="200"/>
        <w:rPr>
          <w:color w:val="auto"/>
          <w:highlight w:val="none"/>
        </w:rPr>
      </w:pPr>
      <w:r>
        <w:rPr>
          <w:color w:val="auto"/>
          <w:highlight w:val="none"/>
        </w:rPr>
        <w:t>1、电子化投标文件采用双重加密方式。开标时，首先由投标人使用 CA 证书，在规定时间内对其电子化投标 文件进行首次解密，投标人解密完成后，再由中介服务机构使用 CA 证书对投标文件进行再次解密。</w:t>
      </w:r>
    </w:p>
    <w:p>
      <w:pPr>
        <w:spacing w:line="500" w:lineRule="exact"/>
        <w:ind w:firstLine="420" w:firstLineChars="200"/>
        <w:rPr>
          <w:color w:val="auto"/>
          <w:highlight w:val="none"/>
        </w:rPr>
      </w:pPr>
      <w:r>
        <w:rPr>
          <w:color w:val="auto"/>
          <w:highlight w:val="none"/>
        </w:rPr>
        <w:t>2、电子化投标文件解密异常的处理 如出现投标人的电子投标文件无法解密的情况，投标人应及时联系中介服务机构说明。投标文件解密异常， 按以下步骤进行处理：</w:t>
      </w:r>
    </w:p>
    <w:p>
      <w:pPr>
        <w:spacing w:line="500" w:lineRule="exact"/>
        <w:ind w:firstLine="420" w:firstLineChars="200"/>
        <w:rPr>
          <w:color w:val="auto"/>
          <w:highlight w:val="none"/>
        </w:rPr>
      </w:pPr>
      <w:r>
        <w:rPr>
          <w:color w:val="auto"/>
          <w:highlight w:val="none"/>
        </w:rPr>
        <w:t>（1）首先由技术人员进行问题排查。</w:t>
      </w:r>
    </w:p>
    <w:p>
      <w:pPr>
        <w:spacing w:line="500" w:lineRule="exact"/>
        <w:ind w:firstLine="420" w:firstLineChars="200"/>
        <w:rPr>
          <w:color w:val="auto"/>
          <w:highlight w:val="none"/>
        </w:rPr>
      </w:pPr>
      <w:r>
        <w:rPr>
          <w:color w:val="auto"/>
          <w:highlight w:val="none"/>
        </w:rPr>
        <w:t>（2）经技术人员排查后，是投标人文件自身问题导致投标文件无法解密的，该投标文件将不予接收、解密和唱标，开标会议继续进行。</w:t>
      </w:r>
    </w:p>
    <w:p>
      <w:pPr>
        <w:spacing w:line="500" w:lineRule="exact"/>
        <w:ind w:firstLine="420" w:firstLineChars="200"/>
        <w:rPr>
          <w:color w:val="auto"/>
          <w:highlight w:val="none"/>
        </w:rPr>
      </w:pPr>
      <w:r>
        <w:rPr>
          <w:color w:val="auto"/>
          <w:highlight w:val="none"/>
        </w:rPr>
        <w:t>（3）经技术人员排查后，如果是电子化交易系统问题造成投标文件无法解密的，将由技术人员对问题进行处 理。如短时间内问题无法解决的，将由中介服务机构向监督部门申请，经监督部门同意后，暂停开标会议， 待问题解决后继续开标。</w:t>
      </w:r>
    </w:p>
    <w:p>
      <w:pPr>
        <w:spacing w:line="500" w:lineRule="exact"/>
        <w:ind w:firstLine="420" w:firstLineChars="200"/>
        <w:rPr>
          <w:color w:val="auto"/>
          <w:highlight w:val="none"/>
        </w:rPr>
      </w:pPr>
      <w:r>
        <w:rPr>
          <w:color w:val="auto"/>
          <w:highlight w:val="none"/>
        </w:rPr>
        <w:t>3、待所有投标人投标文件解密完成后，由中介服务机构操作，对所有已解密投标文件进行唱标。</w:t>
      </w:r>
    </w:p>
    <w:p>
      <w:pPr>
        <w:spacing w:line="500" w:lineRule="exact"/>
        <w:ind w:firstLine="420" w:firstLineChars="200"/>
        <w:rPr>
          <w:color w:val="auto"/>
          <w:highlight w:val="none"/>
        </w:rPr>
      </w:pPr>
      <w:r>
        <w:rPr>
          <w:color w:val="auto"/>
          <w:highlight w:val="none"/>
        </w:rPr>
        <w:t>4、评标时，评标委员会对电子化投标文件有质疑的，将通过电子化交易系统对投标人发起质疑。质疑回复内 容确认后，投标人的回复文件必须以经过投标人和其法定代表人签章的 PDF 格式文件为准，并通过电子化交 易系统提交至评标委员会。</w:t>
      </w:r>
    </w:p>
    <w:p>
      <w:pPr>
        <w:spacing w:line="500" w:lineRule="exact"/>
        <w:ind w:firstLine="420" w:firstLineChars="200"/>
        <w:rPr>
          <w:color w:val="auto"/>
          <w:highlight w:val="none"/>
        </w:rPr>
      </w:pPr>
      <w:r>
        <w:rPr>
          <w:color w:val="auto"/>
          <w:highlight w:val="none"/>
        </w:rPr>
        <w:t>5、如评标委员会对需要回复的投标人回复内容有异议的，经过几次回复仍不清楚的，需在监督下进行免提电 话进行质疑。</w:t>
      </w:r>
    </w:p>
    <w:p>
      <w:pPr>
        <w:spacing w:line="500" w:lineRule="exact"/>
        <w:ind w:firstLine="420" w:firstLineChars="200"/>
        <w:rPr>
          <w:rFonts w:hint="eastAsia"/>
          <w:color w:val="auto"/>
          <w:highlight w:val="none"/>
          <w:lang w:eastAsia="zh-CN"/>
        </w:rPr>
      </w:pPr>
      <w:r>
        <w:rPr>
          <w:color w:val="auto"/>
          <w:highlight w:val="none"/>
        </w:rPr>
        <w:t>6、评标时如因系统异常、停电、电脑病毒、网络堵塞等原因无法正常进行的，由技术人员排查解决，短时 间无法解决的，经监督部门同意后，暂停评标活动，待问题解决后继续评标</w:t>
      </w:r>
      <w:r>
        <w:rPr>
          <w:rFonts w:hint="eastAsia"/>
          <w:color w:val="auto"/>
          <w:highlight w:val="none"/>
          <w:lang w:eastAsia="zh-CN"/>
        </w:rPr>
        <w:t>。</w:t>
      </w:r>
    </w:p>
    <w:p>
      <w:pPr>
        <w:jc w:val="center"/>
        <w:rPr>
          <w:rFonts w:hint="eastAsia" w:ascii="方正小标宋简体" w:hAnsi="方正小标宋简体" w:eastAsia="方正小标宋简体" w:cs="方正小标宋简体"/>
          <w:color w:val="auto"/>
          <w:sz w:val="44"/>
          <w:szCs w:val="44"/>
          <w:highlight w:val="none"/>
          <w:lang w:val="en-US" w:eastAsia="zh-CN"/>
        </w:rPr>
      </w:pPr>
    </w:p>
    <w:p>
      <w:pPr>
        <w:rPr>
          <w:highlight w:val="none"/>
        </w:rPr>
      </w:pPr>
    </w:p>
    <w:sectPr>
      <w:footerReference r:id="rId12" w:type="first"/>
      <w:footerReference r:id="rId11" w:type="default"/>
      <w:pgSz w:w="11906" w:h="16838"/>
      <w:pgMar w:top="1440" w:right="1080" w:bottom="1440" w:left="1080" w:header="850"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9185"/>
        <w:tab w:val="clear" w:pos="4153"/>
        <w:tab w:val="clear" w:pos="8306"/>
      </w:tabs>
      <w:spacing w:line="0" w:lineRule="atLeast"/>
      <w:ind w:right="360"/>
      <w:rPr>
        <w:rFonts w:hint="eastAsia" w:ascii="宋体"/>
        <w:b/>
        <w:bCs/>
        <w:color w:val="003366"/>
        <w:sz w:val="21"/>
        <w:szCs w:val="24"/>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宋体"/>
        <w:b/>
        <w:bCs/>
        <w:color w:val="003366"/>
        <w:sz w:val="21"/>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Times New Roman" w:hAnsi="Times New Roman" w:eastAsia="仿宋_GB2312"/>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126"/>
      </w:tabs>
      <w:rPr>
        <w:u w:val="single"/>
      </w:rPr>
    </w:pPr>
    <w:r>
      <w:rPr>
        <w:sz w:val="15"/>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31</w:t>
                    </w:r>
                    <w:r>
                      <w:fldChar w:fldCharType="end"/>
                    </w:r>
                  </w:p>
                </w:txbxContent>
              </v:textbox>
            </v:shape>
          </w:pict>
        </mc:Fallback>
      </mc:AlternateContent>
    </w:r>
    <w:r>
      <w:rPr>
        <w:rFonts w:hint="eastAsia" w:ascii="宋体" w:cs="宋体"/>
        <w:sz w:val="15"/>
        <w:szCs w:val="15"/>
        <w:u w:val="single"/>
        <w:lang w:bidi="ar-SA"/>
      </w:rPr>
      <w:tab/>
    </w:r>
    <w:r>
      <w:rPr>
        <w:rFonts w:hint="eastAsia" w:ascii="宋体" w:cs="宋体"/>
        <w:sz w:val="15"/>
        <w:szCs w:val="15"/>
        <w:u w:val="single"/>
        <w:lang w:bidi="ar-S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rPr>
        <w:rFonts w:hint="default"/>
        <w:lang w:val="en-US"/>
      </w:rPr>
    </w:pPr>
    <w:r>
      <w:rPr>
        <w:rFonts w:hint="eastAsia" w:ascii="宋体" w:hAnsi="宋体"/>
        <w:b w:val="0"/>
        <w:bCs w:val="0"/>
        <w:color w:val="000000"/>
        <w:sz w:val="24"/>
        <w:szCs w:val="24"/>
        <w:highlight w:val="none"/>
        <w:u w:val="none"/>
        <w:lang w:val="en-US" w:eastAsia="zh-CN"/>
      </w:rPr>
      <w:t>凤凰路沿线区域综合开发建设项目（一期）设计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lang w:val="en-US" w:eastAsia="zh-CN"/>
      </w:rPr>
    </w:pPr>
    <w:r>
      <w:rPr>
        <w:rFonts w:hint="eastAsia" w:ascii="宋体" w:hAnsi="宋体" w:cs="宋体"/>
        <w:color w:val="auto"/>
        <w:sz w:val="21"/>
        <w:szCs w:val="21"/>
        <w:highlight w:val="none"/>
        <w:lang w:val="en-US" w:eastAsia="zh-CN"/>
      </w:rPr>
      <w:t>平顶山东部客运枢纽站项目施工及监理(第一标段)                                       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r>
      <w:rPr>
        <w:rFonts w:hint="eastAsia" w:ascii="宋体" w:hAnsi="宋体" w:cs="宋体"/>
        <w:color w:val="auto"/>
        <w:sz w:val="21"/>
        <w:szCs w:val="21"/>
        <w:highlight w:val="none"/>
        <w:lang w:val="en-US" w:eastAsia="zh-CN"/>
      </w:rPr>
      <w:t>平顶山东部客运枢纽站项目施工及监理（第一标段）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F1CD0"/>
    <w:multiLevelType w:val="singleLevel"/>
    <w:tmpl w:val="97FF1CD0"/>
    <w:lvl w:ilvl="0" w:tentative="0">
      <w:start w:val="2"/>
      <w:numFmt w:val="decimal"/>
      <w:suff w:val="space"/>
      <w:lvlText w:val="%1、"/>
      <w:lvlJc w:val="left"/>
    </w:lvl>
  </w:abstractNum>
  <w:abstractNum w:abstractNumId="1">
    <w:nsid w:val="E1CFDA89"/>
    <w:multiLevelType w:val="singleLevel"/>
    <w:tmpl w:val="E1CFDA89"/>
    <w:lvl w:ilvl="0" w:tentative="0">
      <w:start w:val="1"/>
      <w:numFmt w:val="decimal"/>
      <w:suff w:val="nothing"/>
      <w:lvlText w:val="%1、"/>
      <w:lvlJc w:val="left"/>
    </w:lvl>
  </w:abstractNum>
  <w:abstractNum w:abstractNumId="2">
    <w:nsid w:val="2B6BB5EE"/>
    <w:multiLevelType w:val="singleLevel"/>
    <w:tmpl w:val="2B6BB5EE"/>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hZTQ2YTE5MTIzMzk1YzFmNzE1MjY3ZmE5MjZhMmYifQ=="/>
  </w:docVars>
  <w:rsids>
    <w:rsidRoot w:val="00000000"/>
    <w:rsid w:val="002E1F6F"/>
    <w:rsid w:val="004D3F18"/>
    <w:rsid w:val="005E0AA6"/>
    <w:rsid w:val="007214FC"/>
    <w:rsid w:val="008158F2"/>
    <w:rsid w:val="008E7052"/>
    <w:rsid w:val="00A95A9A"/>
    <w:rsid w:val="00E80370"/>
    <w:rsid w:val="0100126B"/>
    <w:rsid w:val="010D10C0"/>
    <w:rsid w:val="0127533C"/>
    <w:rsid w:val="01293007"/>
    <w:rsid w:val="013B66B5"/>
    <w:rsid w:val="01563ADF"/>
    <w:rsid w:val="015B6D94"/>
    <w:rsid w:val="016D6C1B"/>
    <w:rsid w:val="017A3C8C"/>
    <w:rsid w:val="017D7F87"/>
    <w:rsid w:val="01B6046E"/>
    <w:rsid w:val="01DF1ED3"/>
    <w:rsid w:val="01EB68FC"/>
    <w:rsid w:val="01F1249A"/>
    <w:rsid w:val="01F17D36"/>
    <w:rsid w:val="024209F0"/>
    <w:rsid w:val="024F51F3"/>
    <w:rsid w:val="02507D18"/>
    <w:rsid w:val="025C1016"/>
    <w:rsid w:val="026E6DFA"/>
    <w:rsid w:val="02841FD1"/>
    <w:rsid w:val="028502B6"/>
    <w:rsid w:val="028B3CA0"/>
    <w:rsid w:val="028C69A2"/>
    <w:rsid w:val="029D658A"/>
    <w:rsid w:val="02C3671F"/>
    <w:rsid w:val="02D36DFE"/>
    <w:rsid w:val="02D370AB"/>
    <w:rsid w:val="02DC07C0"/>
    <w:rsid w:val="02DD1A2B"/>
    <w:rsid w:val="02F92D08"/>
    <w:rsid w:val="030B7B57"/>
    <w:rsid w:val="030E485F"/>
    <w:rsid w:val="032255CB"/>
    <w:rsid w:val="03266551"/>
    <w:rsid w:val="03743919"/>
    <w:rsid w:val="03C16687"/>
    <w:rsid w:val="03E226BA"/>
    <w:rsid w:val="0419456C"/>
    <w:rsid w:val="042042C5"/>
    <w:rsid w:val="04394E8B"/>
    <w:rsid w:val="043A7135"/>
    <w:rsid w:val="044F20CB"/>
    <w:rsid w:val="04715B28"/>
    <w:rsid w:val="04970068"/>
    <w:rsid w:val="04A24CDA"/>
    <w:rsid w:val="04AA01BC"/>
    <w:rsid w:val="04BC215E"/>
    <w:rsid w:val="04C95D42"/>
    <w:rsid w:val="04CA5A9D"/>
    <w:rsid w:val="04DA0918"/>
    <w:rsid w:val="04DD3789"/>
    <w:rsid w:val="04E23328"/>
    <w:rsid w:val="04F53166"/>
    <w:rsid w:val="04FB19E3"/>
    <w:rsid w:val="050D1182"/>
    <w:rsid w:val="050E30E7"/>
    <w:rsid w:val="05167B32"/>
    <w:rsid w:val="05191440"/>
    <w:rsid w:val="05235E1B"/>
    <w:rsid w:val="05290F57"/>
    <w:rsid w:val="05383CAC"/>
    <w:rsid w:val="053C6EDC"/>
    <w:rsid w:val="054F501D"/>
    <w:rsid w:val="05681A7F"/>
    <w:rsid w:val="057743B8"/>
    <w:rsid w:val="05844965"/>
    <w:rsid w:val="058A40EC"/>
    <w:rsid w:val="059553FD"/>
    <w:rsid w:val="05BE78F1"/>
    <w:rsid w:val="05EF03F3"/>
    <w:rsid w:val="0630762F"/>
    <w:rsid w:val="065D0391"/>
    <w:rsid w:val="067D2D64"/>
    <w:rsid w:val="067E56D3"/>
    <w:rsid w:val="068861F8"/>
    <w:rsid w:val="068934FE"/>
    <w:rsid w:val="06944A8B"/>
    <w:rsid w:val="069C69C9"/>
    <w:rsid w:val="06AE452A"/>
    <w:rsid w:val="06C47CAB"/>
    <w:rsid w:val="06D73361"/>
    <w:rsid w:val="07126248"/>
    <w:rsid w:val="071E3B7B"/>
    <w:rsid w:val="072E6CF9"/>
    <w:rsid w:val="073B6F2E"/>
    <w:rsid w:val="073E6F3C"/>
    <w:rsid w:val="07426254"/>
    <w:rsid w:val="075229E7"/>
    <w:rsid w:val="075C3866"/>
    <w:rsid w:val="077973D7"/>
    <w:rsid w:val="07C11226"/>
    <w:rsid w:val="07CD5B20"/>
    <w:rsid w:val="07D17DB0"/>
    <w:rsid w:val="07DB478B"/>
    <w:rsid w:val="07E5385B"/>
    <w:rsid w:val="07F97307"/>
    <w:rsid w:val="07FD50F9"/>
    <w:rsid w:val="07FF66AA"/>
    <w:rsid w:val="081F12FB"/>
    <w:rsid w:val="082800EF"/>
    <w:rsid w:val="08486B30"/>
    <w:rsid w:val="08495415"/>
    <w:rsid w:val="086F3665"/>
    <w:rsid w:val="087A254E"/>
    <w:rsid w:val="08800404"/>
    <w:rsid w:val="088C0B75"/>
    <w:rsid w:val="088E6489"/>
    <w:rsid w:val="08A4215D"/>
    <w:rsid w:val="08AC261A"/>
    <w:rsid w:val="08AF7DA3"/>
    <w:rsid w:val="08B71690"/>
    <w:rsid w:val="08B764B0"/>
    <w:rsid w:val="08B96544"/>
    <w:rsid w:val="08F245C0"/>
    <w:rsid w:val="08F57ACE"/>
    <w:rsid w:val="09000F75"/>
    <w:rsid w:val="09475E50"/>
    <w:rsid w:val="09561557"/>
    <w:rsid w:val="095F7DA4"/>
    <w:rsid w:val="097858AB"/>
    <w:rsid w:val="09856175"/>
    <w:rsid w:val="09884DDB"/>
    <w:rsid w:val="099418D3"/>
    <w:rsid w:val="09A3752A"/>
    <w:rsid w:val="09EF09C1"/>
    <w:rsid w:val="0A043722"/>
    <w:rsid w:val="0A12645E"/>
    <w:rsid w:val="0A2763AD"/>
    <w:rsid w:val="0A3665F0"/>
    <w:rsid w:val="0A382368"/>
    <w:rsid w:val="0A4725AB"/>
    <w:rsid w:val="0A4A3594"/>
    <w:rsid w:val="0A652A31"/>
    <w:rsid w:val="0A856C30"/>
    <w:rsid w:val="0A9C2975"/>
    <w:rsid w:val="0ABF6607"/>
    <w:rsid w:val="0AE75B3C"/>
    <w:rsid w:val="0AE962CC"/>
    <w:rsid w:val="0AF142C5"/>
    <w:rsid w:val="0B1A5988"/>
    <w:rsid w:val="0B1B65FF"/>
    <w:rsid w:val="0B25505F"/>
    <w:rsid w:val="0B4A5CAD"/>
    <w:rsid w:val="0B534F80"/>
    <w:rsid w:val="0B7B7457"/>
    <w:rsid w:val="0B9805F5"/>
    <w:rsid w:val="0B9A670B"/>
    <w:rsid w:val="0BAF2D9C"/>
    <w:rsid w:val="0BB579E9"/>
    <w:rsid w:val="0BC8771C"/>
    <w:rsid w:val="0BD80DB3"/>
    <w:rsid w:val="0BED05C3"/>
    <w:rsid w:val="0C673E66"/>
    <w:rsid w:val="0C6C2BF0"/>
    <w:rsid w:val="0C6E60F3"/>
    <w:rsid w:val="0C79140C"/>
    <w:rsid w:val="0C8C699B"/>
    <w:rsid w:val="0D2210AE"/>
    <w:rsid w:val="0D436441"/>
    <w:rsid w:val="0D6A0ACC"/>
    <w:rsid w:val="0DA27AF9"/>
    <w:rsid w:val="0DD00B0A"/>
    <w:rsid w:val="0DDC51FB"/>
    <w:rsid w:val="0DE46839"/>
    <w:rsid w:val="0E06277D"/>
    <w:rsid w:val="0E4E32ED"/>
    <w:rsid w:val="0E4F7972"/>
    <w:rsid w:val="0E72571D"/>
    <w:rsid w:val="0EAE52E0"/>
    <w:rsid w:val="0EBB7194"/>
    <w:rsid w:val="0ECE4958"/>
    <w:rsid w:val="0ED97CEF"/>
    <w:rsid w:val="0EE51366"/>
    <w:rsid w:val="0EEE7326"/>
    <w:rsid w:val="0F0F2B1E"/>
    <w:rsid w:val="0F0F4A54"/>
    <w:rsid w:val="0F2504B0"/>
    <w:rsid w:val="0F4A0448"/>
    <w:rsid w:val="0F4D054E"/>
    <w:rsid w:val="0F721E6B"/>
    <w:rsid w:val="0F7B0593"/>
    <w:rsid w:val="0F826BCD"/>
    <w:rsid w:val="0F886283"/>
    <w:rsid w:val="0F932D94"/>
    <w:rsid w:val="0F9C5D4F"/>
    <w:rsid w:val="0FA97864"/>
    <w:rsid w:val="0FE226C8"/>
    <w:rsid w:val="0FEE34C9"/>
    <w:rsid w:val="0FF149DF"/>
    <w:rsid w:val="100D7877"/>
    <w:rsid w:val="1015460F"/>
    <w:rsid w:val="102E201C"/>
    <w:rsid w:val="1049636F"/>
    <w:rsid w:val="104B091B"/>
    <w:rsid w:val="10502203"/>
    <w:rsid w:val="10595182"/>
    <w:rsid w:val="106B4B1A"/>
    <w:rsid w:val="107C0AD5"/>
    <w:rsid w:val="10800600"/>
    <w:rsid w:val="10997C7C"/>
    <w:rsid w:val="10A65B52"/>
    <w:rsid w:val="10AC5A47"/>
    <w:rsid w:val="10D3671D"/>
    <w:rsid w:val="111A38D6"/>
    <w:rsid w:val="111D4066"/>
    <w:rsid w:val="11286567"/>
    <w:rsid w:val="11384E65"/>
    <w:rsid w:val="11477B73"/>
    <w:rsid w:val="115B6D04"/>
    <w:rsid w:val="116A4DD1"/>
    <w:rsid w:val="11AC043A"/>
    <w:rsid w:val="11C95F9C"/>
    <w:rsid w:val="11D230A2"/>
    <w:rsid w:val="11D34725"/>
    <w:rsid w:val="11EB4164"/>
    <w:rsid w:val="11FF19BD"/>
    <w:rsid w:val="12013B24"/>
    <w:rsid w:val="120B0362"/>
    <w:rsid w:val="12101799"/>
    <w:rsid w:val="121B012E"/>
    <w:rsid w:val="12266F4A"/>
    <w:rsid w:val="123E2AB8"/>
    <w:rsid w:val="123E7036"/>
    <w:rsid w:val="12402F45"/>
    <w:rsid w:val="12581C45"/>
    <w:rsid w:val="127B00BB"/>
    <w:rsid w:val="12802AFE"/>
    <w:rsid w:val="128600E4"/>
    <w:rsid w:val="12AF1FC1"/>
    <w:rsid w:val="12B24C82"/>
    <w:rsid w:val="12B96010"/>
    <w:rsid w:val="12C909E1"/>
    <w:rsid w:val="12DB533C"/>
    <w:rsid w:val="12FB3F33"/>
    <w:rsid w:val="1324792E"/>
    <w:rsid w:val="13675A6C"/>
    <w:rsid w:val="13702B73"/>
    <w:rsid w:val="137361BF"/>
    <w:rsid w:val="137A1959"/>
    <w:rsid w:val="138154A9"/>
    <w:rsid w:val="13916645"/>
    <w:rsid w:val="13932E4D"/>
    <w:rsid w:val="13B0109A"/>
    <w:rsid w:val="13CD5350"/>
    <w:rsid w:val="13D46D7F"/>
    <w:rsid w:val="13FE2AFE"/>
    <w:rsid w:val="140A37FC"/>
    <w:rsid w:val="14175CE5"/>
    <w:rsid w:val="141F6347"/>
    <w:rsid w:val="142255C1"/>
    <w:rsid w:val="145C30F7"/>
    <w:rsid w:val="147F07E1"/>
    <w:rsid w:val="14861F22"/>
    <w:rsid w:val="14B72EC2"/>
    <w:rsid w:val="14BA4208"/>
    <w:rsid w:val="14BD06F6"/>
    <w:rsid w:val="14C91924"/>
    <w:rsid w:val="14D058B3"/>
    <w:rsid w:val="14F24E65"/>
    <w:rsid w:val="1500445D"/>
    <w:rsid w:val="15112A41"/>
    <w:rsid w:val="152741FB"/>
    <w:rsid w:val="152A4FA3"/>
    <w:rsid w:val="15376849"/>
    <w:rsid w:val="154D762B"/>
    <w:rsid w:val="1559720B"/>
    <w:rsid w:val="156A52E4"/>
    <w:rsid w:val="15773614"/>
    <w:rsid w:val="15961DF8"/>
    <w:rsid w:val="15971BF4"/>
    <w:rsid w:val="159D4C4E"/>
    <w:rsid w:val="15B36D47"/>
    <w:rsid w:val="15B6752C"/>
    <w:rsid w:val="15D60C87"/>
    <w:rsid w:val="15E51BD2"/>
    <w:rsid w:val="15F0401B"/>
    <w:rsid w:val="15FF5E46"/>
    <w:rsid w:val="16096967"/>
    <w:rsid w:val="16227A29"/>
    <w:rsid w:val="162D4D4B"/>
    <w:rsid w:val="1634517A"/>
    <w:rsid w:val="163D20FF"/>
    <w:rsid w:val="164E0AE7"/>
    <w:rsid w:val="16586D2C"/>
    <w:rsid w:val="165B74A6"/>
    <w:rsid w:val="166130F0"/>
    <w:rsid w:val="166F4912"/>
    <w:rsid w:val="16797F90"/>
    <w:rsid w:val="167E55A7"/>
    <w:rsid w:val="168615B7"/>
    <w:rsid w:val="169A3A63"/>
    <w:rsid w:val="16A23F44"/>
    <w:rsid w:val="16A3500D"/>
    <w:rsid w:val="16AC72FB"/>
    <w:rsid w:val="16BD30C2"/>
    <w:rsid w:val="16BF00B5"/>
    <w:rsid w:val="16ED0036"/>
    <w:rsid w:val="16F969DB"/>
    <w:rsid w:val="16F97461"/>
    <w:rsid w:val="170027E1"/>
    <w:rsid w:val="1700420E"/>
    <w:rsid w:val="17485042"/>
    <w:rsid w:val="175C51BC"/>
    <w:rsid w:val="176302F9"/>
    <w:rsid w:val="17942551"/>
    <w:rsid w:val="17AD45A9"/>
    <w:rsid w:val="17B919DC"/>
    <w:rsid w:val="17B9260F"/>
    <w:rsid w:val="17BE34A7"/>
    <w:rsid w:val="17C70888"/>
    <w:rsid w:val="17CA159B"/>
    <w:rsid w:val="17CB48BC"/>
    <w:rsid w:val="17EA0A1A"/>
    <w:rsid w:val="18050233"/>
    <w:rsid w:val="18070D36"/>
    <w:rsid w:val="181C076B"/>
    <w:rsid w:val="182971C9"/>
    <w:rsid w:val="18354553"/>
    <w:rsid w:val="183B5076"/>
    <w:rsid w:val="185365BF"/>
    <w:rsid w:val="186009CB"/>
    <w:rsid w:val="186802BC"/>
    <w:rsid w:val="186B56B7"/>
    <w:rsid w:val="186F5BC4"/>
    <w:rsid w:val="187F5606"/>
    <w:rsid w:val="188C387F"/>
    <w:rsid w:val="18925339"/>
    <w:rsid w:val="18950986"/>
    <w:rsid w:val="189F1804"/>
    <w:rsid w:val="18B11911"/>
    <w:rsid w:val="18BD7EDC"/>
    <w:rsid w:val="18E47090"/>
    <w:rsid w:val="18ED6A14"/>
    <w:rsid w:val="19037C20"/>
    <w:rsid w:val="190D676E"/>
    <w:rsid w:val="190D7CD7"/>
    <w:rsid w:val="192B12EA"/>
    <w:rsid w:val="19414B84"/>
    <w:rsid w:val="19650D65"/>
    <w:rsid w:val="196D36B1"/>
    <w:rsid w:val="196E3CA9"/>
    <w:rsid w:val="197F26BA"/>
    <w:rsid w:val="198E4EFC"/>
    <w:rsid w:val="199F5196"/>
    <w:rsid w:val="19C862A3"/>
    <w:rsid w:val="19CB000E"/>
    <w:rsid w:val="19D159ED"/>
    <w:rsid w:val="19D63004"/>
    <w:rsid w:val="19EB584A"/>
    <w:rsid w:val="19F8741E"/>
    <w:rsid w:val="19FD0FC9"/>
    <w:rsid w:val="1A044015"/>
    <w:rsid w:val="1A077661"/>
    <w:rsid w:val="1A14574C"/>
    <w:rsid w:val="1A2B4428"/>
    <w:rsid w:val="1A3366A8"/>
    <w:rsid w:val="1A3D0F3A"/>
    <w:rsid w:val="1A4D335A"/>
    <w:rsid w:val="1A4E78F4"/>
    <w:rsid w:val="1A554870"/>
    <w:rsid w:val="1A615A10"/>
    <w:rsid w:val="1A7815E8"/>
    <w:rsid w:val="1A7D7923"/>
    <w:rsid w:val="1AA03612"/>
    <w:rsid w:val="1AA37660"/>
    <w:rsid w:val="1AC1695A"/>
    <w:rsid w:val="1AC75EFD"/>
    <w:rsid w:val="1AD03EF7"/>
    <w:rsid w:val="1AE420F8"/>
    <w:rsid w:val="1AE6371B"/>
    <w:rsid w:val="1B4F1CAC"/>
    <w:rsid w:val="1B5D0A72"/>
    <w:rsid w:val="1B6F1962"/>
    <w:rsid w:val="1B8D3B96"/>
    <w:rsid w:val="1BBD0FBE"/>
    <w:rsid w:val="1BDC2AD8"/>
    <w:rsid w:val="1BE8368C"/>
    <w:rsid w:val="1C0C331B"/>
    <w:rsid w:val="1C0F4EF3"/>
    <w:rsid w:val="1C105385"/>
    <w:rsid w:val="1C146065"/>
    <w:rsid w:val="1C305FA8"/>
    <w:rsid w:val="1C3B7A96"/>
    <w:rsid w:val="1C4732F6"/>
    <w:rsid w:val="1C656C23"/>
    <w:rsid w:val="1C672126"/>
    <w:rsid w:val="1C6A2129"/>
    <w:rsid w:val="1C6B5FD1"/>
    <w:rsid w:val="1C947B87"/>
    <w:rsid w:val="1CA218C3"/>
    <w:rsid w:val="1CA4388D"/>
    <w:rsid w:val="1CA44065"/>
    <w:rsid w:val="1CB23F47"/>
    <w:rsid w:val="1CB54966"/>
    <w:rsid w:val="1CBC0907"/>
    <w:rsid w:val="1CC00D28"/>
    <w:rsid w:val="1CCF2131"/>
    <w:rsid w:val="1CE95744"/>
    <w:rsid w:val="1D0D31E0"/>
    <w:rsid w:val="1D17405F"/>
    <w:rsid w:val="1D2719EA"/>
    <w:rsid w:val="1D9B4C90"/>
    <w:rsid w:val="1DAA14E2"/>
    <w:rsid w:val="1DBB7D83"/>
    <w:rsid w:val="1DC20619"/>
    <w:rsid w:val="1DE173E2"/>
    <w:rsid w:val="1DE25ADC"/>
    <w:rsid w:val="1DF47EFC"/>
    <w:rsid w:val="1DFB3692"/>
    <w:rsid w:val="1E0F0ED3"/>
    <w:rsid w:val="1E260970"/>
    <w:rsid w:val="1E3D39D6"/>
    <w:rsid w:val="1E46331B"/>
    <w:rsid w:val="1E937715"/>
    <w:rsid w:val="1E9B5F1F"/>
    <w:rsid w:val="1EBD007C"/>
    <w:rsid w:val="1EEE7042"/>
    <w:rsid w:val="1EF455AD"/>
    <w:rsid w:val="1EF90A94"/>
    <w:rsid w:val="1F0D1F2C"/>
    <w:rsid w:val="1F1328F5"/>
    <w:rsid w:val="1F25281D"/>
    <w:rsid w:val="1F301408"/>
    <w:rsid w:val="1F546702"/>
    <w:rsid w:val="1F5A46D7"/>
    <w:rsid w:val="1F607CB7"/>
    <w:rsid w:val="1F737547"/>
    <w:rsid w:val="1FA227A0"/>
    <w:rsid w:val="1FB43DE7"/>
    <w:rsid w:val="1FBC542B"/>
    <w:rsid w:val="1FC63F83"/>
    <w:rsid w:val="1FC85AE5"/>
    <w:rsid w:val="1FF258E2"/>
    <w:rsid w:val="1FF714C0"/>
    <w:rsid w:val="20062169"/>
    <w:rsid w:val="20381266"/>
    <w:rsid w:val="20407429"/>
    <w:rsid w:val="204333BD"/>
    <w:rsid w:val="20523C96"/>
    <w:rsid w:val="207E43F5"/>
    <w:rsid w:val="20B87907"/>
    <w:rsid w:val="20C53DD2"/>
    <w:rsid w:val="20C938C2"/>
    <w:rsid w:val="20EC5803"/>
    <w:rsid w:val="21046669"/>
    <w:rsid w:val="210466A8"/>
    <w:rsid w:val="210A3AFB"/>
    <w:rsid w:val="2116462E"/>
    <w:rsid w:val="213056EF"/>
    <w:rsid w:val="21560D92"/>
    <w:rsid w:val="215C688C"/>
    <w:rsid w:val="21766C68"/>
    <w:rsid w:val="217952E8"/>
    <w:rsid w:val="21983295"/>
    <w:rsid w:val="21B300CF"/>
    <w:rsid w:val="21D14A91"/>
    <w:rsid w:val="21F21144"/>
    <w:rsid w:val="22056376"/>
    <w:rsid w:val="221473AA"/>
    <w:rsid w:val="221A1622"/>
    <w:rsid w:val="221D5682"/>
    <w:rsid w:val="22243272"/>
    <w:rsid w:val="22344DA6"/>
    <w:rsid w:val="22360C9B"/>
    <w:rsid w:val="223E4DE1"/>
    <w:rsid w:val="224B0307"/>
    <w:rsid w:val="226715E5"/>
    <w:rsid w:val="227A6549"/>
    <w:rsid w:val="22883309"/>
    <w:rsid w:val="22AF688F"/>
    <w:rsid w:val="22BD7457"/>
    <w:rsid w:val="22D27541"/>
    <w:rsid w:val="22F8144A"/>
    <w:rsid w:val="22FF181D"/>
    <w:rsid w:val="23090E5B"/>
    <w:rsid w:val="230A2D47"/>
    <w:rsid w:val="23476D20"/>
    <w:rsid w:val="234F608A"/>
    <w:rsid w:val="235D68EC"/>
    <w:rsid w:val="23686BC9"/>
    <w:rsid w:val="23696C97"/>
    <w:rsid w:val="236F20DC"/>
    <w:rsid w:val="23971A56"/>
    <w:rsid w:val="23A45525"/>
    <w:rsid w:val="23A64B6A"/>
    <w:rsid w:val="23B6779B"/>
    <w:rsid w:val="23C96692"/>
    <w:rsid w:val="23D4730E"/>
    <w:rsid w:val="23E97DD8"/>
    <w:rsid w:val="24003F9A"/>
    <w:rsid w:val="24213A15"/>
    <w:rsid w:val="24263C91"/>
    <w:rsid w:val="243B4AD7"/>
    <w:rsid w:val="24425B45"/>
    <w:rsid w:val="244D0366"/>
    <w:rsid w:val="245142FB"/>
    <w:rsid w:val="245834F6"/>
    <w:rsid w:val="247205FF"/>
    <w:rsid w:val="247E53F1"/>
    <w:rsid w:val="249D7540"/>
    <w:rsid w:val="24A74251"/>
    <w:rsid w:val="24CD36B8"/>
    <w:rsid w:val="24D6035C"/>
    <w:rsid w:val="24FD7FDE"/>
    <w:rsid w:val="250824DF"/>
    <w:rsid w:val="250B305A"/>
    <w:rsid w:val="2510085F"/>
    <w:rsid w:val="253C1BC7"/>
    <w:rsid w:val="25694473"/>
    <w:rsid w:val="25695674"/>
    <w:rsid w:val="256E2EAA"/>
    <w:rsid w:val="258853AE"/>
    <w:rsid w:val="258C4EBE"/>
    <w:rsid w:val="25931A04"/>
    <w:rsid w:val="25954406"/>
    <w:rsid w:val="25983863"/>
    <w:rsid w:val="25C23CEF"/>
    <w:rsid w:val="25D56865"/>
    <w:rsid w:val="25F51053"/>
    <w:rsid w:val="26050FF6"/>
    <w:rsid w:val="260724E7"/>
    <w:rsid w:val="260E3B25"/>
    <w:rsid w:val="264B2AD5"/>
    <w:rsid w:val="267C27C0"/>
    <w:rsid w:val="26A4370A"/>
    <w:rsid w:val="26C12F94"/>
    <w:rsid w:val="26C74E5A"/>
    <w:rsid w:val="26D134D1"/>
    <w:rsid w:val="26E02C80"/>
    <w:rsid w:val="26EC667D"/>
    <w:rsid w:val="270B2FC4"/>
    <w:rsid w:val="2717394E"/>
    <w:rsid w:val="27554518"/>
    <w:rsid w:val="27991704"/>
    <w:rsid w:val="27BD3A55"/>
    <w:rsid w:val="27C73B0C"/>
    <w:rsid w:val="27E6053F"/>
    <w:rsid w:val="27EE4691"/>
    <w:rsid w:val="280835D8"/>
    <w:rsid w:val="283A2AE8"/>
    <w:rsid w:val="28835F31"/>
    <w:rsid w:val="28924EE2"/>
    <w:rsid w:val="2894331C"/>
    <w:rsid w:val="289C18BC"/>
    <w:rsid w:val="28A80261"/>
    <w:rsid w:val="28AE5F58"/>
    <w:rsid w:val="28BC0562"/>
    <w:rsid w:val="28BC05CC"/>
    <w:rsid w:val="28D920BB"/>
    <w:rsid w:val="28E36B0A"/>
    <w:rsid w:val="28E63703"/>
    <w:rsid w:val="28F96D0F"/>
    <w:rsid w:val="292F2284"/>
    <w:rsid w:val="2942359E"/>
    <w:rsid w:val="2952512A"/>
    <w:rsid w:val="2958766F"/>
    <w:rsid w:val="295D104C"/>
    <w:rsid w:val="296543A4"/>
    <w:rsid w:val="297571E4"/>
    <w:rsid w:val="299E6B91"/>
    <w:rsid w:val="29B661FB"/>
    <w:rsid w:val="29C56BF1"/>
    <w:rsid w:val="29F574D6"/>
    <w:rsid w:val="29F57B55"/>
    <w:rsid w:val="29F84120"/>
    <w:rsid w:val="29FD282F"/>
    <w:rsid w:val="2A783C63"/>
    <w:rsid w:val="2A802E96"/>
    <w:rsid w:val="2A9860B3"/>
    <w:rsid w:val="2AA36F32"/>
    <w:rsid w:val="2AAC669A"/>
    <w:rsid w:val="2AC33130"/>
    <w:rsid w:val="2AC56BC6"/>
    <w:rsid w:val="2AD6610A"/>
    <w:rsid w:val="2AE54CEB"/>
    <w:rsid w:val="2AF7113C"/>
    <w:rsid w:val="2AFC6642"/>
    <w:rsid w:val="2AFD6F37"/>
    <w:rsid w:val="2B181D45"/>
    <w:rsid w:val="2B20709D"/>
    <w:rsid w:val="2B320CAD"/>
    <w:rsid w:val="2B4D50F0"/>
    <w:rsid w:val="2B6F32B8"/>
    <w:rsid w:val="2B726905"/>
    <w:rsid w:val="2B801021"/>
    <w:rsid w:val="2B8759F0"/>
    <w:rsid w:val="2B956C43"/>
    <w:rsid w:val="2BA357D6"/>
    <w:rsid w:val="2BB4516F"/>
    <w:rsid w:val="2BE204CB"/>
    <w:rsid w:val="2BE617CC"/>
    <w:rsid w:val="2BFA5278"/>
    <w:rsid w:val="2BFD1C4D"/>
    <w:rsid w:val="2C071743"/>
    <w:rsid w:val="2C0D7E7E"/>
    <w:rsid w:val="2C271DE5"/>
    <w:rsid w:val="2C2E0A0B"/>
    <w:rsid w:val="2C3E03F6"/>
    <w:rsid w:val="2C440B55"/>
    <w:rsid w:val="2C5030EA"/>
    <w:rsid w:val="2C6060EE"/>
    <w:rsid w:val="2C7C3EDF"/>
    <w:rsid w:val="2C8E3C12"/>
    <w:rsid w:val="2CAA2A15"/>
    <w:rsid w:val="2CBA556F"/>
    <w:rsid w:val="2CBF7478"/>
    <w:rsid w:val="2CE11F94"/>
    <w:rsid w:val="2D1B5DB0"/>
    <w:rsid w:val="2D1F6963"/>
    <w:rsid w:val="2D24719C"/>
    <w:rsid w:val="2D2E0549"/>
    <w:rsid w:val="2D6D1BF5"/>
    <w:rsid w:val="2D8079FF"/>
    <w:rsid w:val="2D905D58"/>
    <w:rsid w:val="2DCC372E"/>
    <w:rsid w:val="2DCC49F2"/>
    <w:rsid w:val="2DCF0ABF"/>
    <w:rsid w:val="2DEE2BBA"/>
    <w:rsid w:val="2E112405"/>
    <w:rsid w:val="2E16582B"/>
    <w:rsid w:val="2E1C1A65"/>
    <w:rsid w:val="2E2760CC"/>
    <w:rsid w:val="2E33418C"/>
    <w:rsid w:val="2E385BE3"/>
    <w:rsid w:val="2E400F3C"/>
    <w:rsid w:val="2E583D16"/>
    <w:rsid w:val="2E6C3ADF"/>
    <w:rsid w:val="2E6D573D"/>
    <w:rsid w:val="2E7A5291"/>
    <w:rsid w:val="2E7F1A64"/>
    <w:rsid w:val="2EB2312B"/>
    <w:rsid w:val="2EBE07DF"/>
    <w:rsid w:val="2EF22236"/>
    <w:rsid w:val="2F0957D2"/>
    <w:rsid w:val="2F146650"/>
    <w:rsid w:val="2F1B051D"/>
    <w:rsid w:val="2F1B6078"/>
    <w:rsid w:val="2F1E302B"/>
    <w:rsid w:val="2F2D4FF3"/>
    <w:rsid w:val="2F48454C"/>
    <w:rsid w:val="2F636655"/>
    <w:rsid w:val="2F9043AD"/>
    <w:rsid w:val="2F99104F"/>
    <w:rsid w:val="2F9B0B20"/>
    <w:rsid w:val="2FA554FB"/>
    <w:rsid w:val="2FB1388A"/>
    <w:rsid w:val="2FD407E3"/>
    <w:rsid w:val="2FF10740"/>
    <w:rsid w:val="2FF63FA8"/>
    <w:rsid w:val="30047F31"/>
    <w:rsid w:val="30127778"/>
    <w:rsid w:val="301D3F6D"/>
    <w:rsid w:val="30241894"/>
    <w:rsid w:val="30257801"/>
    <w:rsid w:val="30376099"/>
    <w:rsid w:val="304765B2"/>
    <w:rsid w:val="305F21F5"/>
    <w:rsid w:val="30711881"/>
    <w:rsid w:val="309A0DD7"/>
    <w:rsid w:val="309C105A"/>
    <w:rsid w:val="313C1E8F"/>
    <w:rsid w:val="315A745C"/>
    <w:rsid w:val="3192385D"/>
    <w:rsid w:val="31A041CB"/>
    <w:rsid w:val="31AA6DF8"/>
    <w:rsid w:val="31B71515"/>
    <w:rsid w:val="31CF7FCF"/>
    <w:rsid w:val="31E97FFE"/>
    <w:rsid w:val="32250B75"/>
    <w:rsid w:val="322E662C"/>
    <w:rsid w:val="324A4718"/>
    <w:rsid w:val="3260395B"/>
    <w:rsid w:val="326428E9"/>
    <w:rsid w:val="3268280F"/>
    <w:rsid w:val="3284589B"/>
    <w:rsid w:val="32AB107A"/>
    <w:rsid w:val="32AE46C6"/>
    <w:rsid w:val="32B75331"/>
    <w:rsid w:val="32B85316"/>
    <w:rsid w:val="32BB06CA"/>
    <w:rsid w:val="32CA1D1A"/>
    <w:rsid w:val="32D11119"/>
    <w:rsid w:val="32DE0344"/>
    <w:rsid w:val="32F52862"/>
    <w:rsid w:val="32F56799"/>
    <w:rsid w:val="33237438"/>
    <w:rsid w:val="336631F3"/>
    <w:rsid w:val="338F44F8"/>
    <w:rsid w:val="3390275C"/>
    <w:rsid w:val="33953AD8"/>
    <w:rsid w:val="339E6D4F"/>
    <w:rsid w:val="33B71CA0"/>
    <w:rsid w:val="33B757FC"/>
    <w:rsid w:val="33C0354E"/>
    <w:rsid w:val="33CE4371"/>
    <w:rsid w:val="33EC20BE"/>
    <w:rsid w:val="340964EF"/>
    <w:rsid w:val="34144F7F"/>
    <w:rsid w:val="34265AAE"/>
    <w:rsid w:val="345A2F0A"/>
    <w:rsid w:val="346F257B"/>
    <w:rsid w:val="34C24459"/>
    <w:rsid w:val="34E7081C"/>
    <w:rsid w:val="35225BD7"/>
    <w:rsid w:val="35290B4B"/>
    <w:rsid w:val="352B6A6D"/>
    <w:rsid w:val="353E4427"/>
    <w:rsid w:val="35492DCC"/>
    <w:rsid w:val="355D4A68"/>
    <w:rsid w:val="355E4FE6"/>
    <w:rsid w:val="35675000"/>
    <w:rsid w:val="357A1A95"/>
    <w:rsid w:val="35C97A69"/>
    <w:rsid w:val="35EB79DF"/>
    <w:rsid w:val="35FE5964"/>
    <w:rsid w:val="36000795"/>
    <w:rsid w:val="360228DE"/>
    <w:rsid w:val="36301896"/>
    <w:rsid w:val="364D63A5"/>
    <w:rsid w:val="3659703F"/>
    <w:rsid w:val="36792EB9"/>
    <w:rsid w:val="367E2601"/>
    <w:rsid w:val="36837A38"/>
    <w:rsid w:val="36851DC6"/>
    <w:rsid w:val="36986971"/>
    <w:rsid w:val="36A163DB"/>
    <w:rsid w:val="36AD7998"/>
    <w:rsid w:val="36CC7811"/>
    <w:rsid w:val="36D66600"/>
    <w:rsid w:val="37023232"/>
    <w:rsid w:val="370C2303"/>
    <w:rsid w:val="371A5A7D"/>
    <w:rsid w:val="371D62BE"/>
    <w:rsid w:val="371D6C04"/>
    <w:rsid w:val="372B2C63"/>
    <w:rsid w:val="37374A9C"/>
    <w:rsid w:val="3747629B"/>
    <w:rsid w:val="3753043C"/>
    <w:rsid w:val="3753599A"/>
    <w:rsid w:val="37647A49"/>
    <w:rsid w:val="37704640"/>
    <w:rsid w:val="377203B8"/>
    <w:rsid w:val="37A4296D"/>
    <w:rsid w:val="37B53A1B"/>
    <w:rsid w:val="37E62C43"/>
    <w:rsid w:val="37EF7C5B"/>
    <w:rsid w:val="380B6117"/>
    <w:rsid w:val="382B3573"/>
    <w:rsid w:val="384B0C09"/>
    <w:rsid w:val="3860335D"/>
    <w:rsid w:val="38651CCB"/>
    <w:rsid w:val="386D5A37"/>
    <w:rsid w:val="388F4F9A"/>
    <w:rsid w:val="38D61428"/>
    <w:rsid w:val="38EB1110"/>
    <w:rsid w:val="38EF5A07"/>
    <w:rsid w:val="38F03BFD"/>
    <w:rsid w:val="38F31085"/>
    <w:rsid w:val="39137E32"/>
    <w:rsid w:val="39243934"/>
    <w:rsid w:val="393253A2"/>
    <w:rsid w:val="393413CF"/>
    <w:rsid w:val="393F42CA"/>
    <w:rsid w:val="39693A3D"/>
    <w:rsid w:val="396C305A"/>
    <w:rsid w:val="397228F1"/>
    <w:rsid w:val="397344ED"/>
    <w:rsid w:val="397C4AFD"/>
    <w:rsid w:val="397C533D"/>
    <w:rsid w:val="397E4867"/>
    <w:rsid w:val="39B90520"/>
    <w:rsid w:val="39D20CE3"/>
    <w:rsid w:val="3A032385"/>
    <w:rsid w:val="3A0B3AD7"/>
    <w:rsid w:val="3A175247"/>
    <w:rsid w:val="3A2D5DBE"/>
    <w:rsid w:val="3A2F759B"/>
    <w:rsid w:val="3A424A56"/>
    <w:rsid w:val="3A4F4DFA"/>
    <w:rsid w:val="3A581AC5"/>
    <w:rsid w:val="3A9A2596"/>
    <w:rsid w:val="3A9D48C4"/>
    <w:rsid w:val="3A9E3272"/>
    <w:rsid w:val="3AA31812"/>
    <w:rsid w:val="3AAA1C17"/>
    <w:rsid w:val="3AAA1CCD"/>
    <w:rsid w:val="3AC028AD"/>
    <w:rsid w:val="3AC213E1"/>
    <w:rsid w:val="3AC2225A"/>
    <w:rsid w:val="3AC34F8A"/>
    <w:rsid w:val="3AD82C28"/>
    <w:rsid w:val="3AEC66D3"/>
    <w:rsid w:val="3AEE6F89"/>
    <w:rsid w:val="3B065B2A"/>
    <w:rsid w:val="3B0949EF"/>
    <w:rsid w:val="3B0E664A"/>
    <w:rsid w:val="3B11613A"/>
    <w:rsid w:val="3B14226F"/>
    <w:rsid w:val="3B1E3A6C"/>
    <w:rsid w:val="3B320A05"/>
    <w:rsid w:val="3B455DE4"/>
    <w:rsid w:val="3B466F05"/>
    <w:rsid w:val="3B4C2CCE"/>
    <w:rsid w:val="3B4C7F60"/>
    <w:rsid w:val="3B4E2EEA"/>
    <w:rsid w:val="3B673FAC"/>
    <w:rsid w:val="3B6B615A"/>
    <w:rsid w:val="3B7F4FBD"/>
    <w:rsid w:val="3B8A37F6"/>
    <w:rsid w:val="3BB0325D"/>
    <w:rsid w:val="3BCE2E77"/>
    <w:rsid w:val="3BE46EBC"/>
    <w:rsid w:val="3BE61375"/>
    <w:rsid w:val="3BFC2946"/>
    <w:rsid w:val="3C12216A"/>
    <w:rsid w:val="3C2F1337"/>
    <w:rsid w:val="3C3A6FCB"/>
    <w:rsid w:val="3C642D02"/>
    <w:rsid w:val="3C8D2DC2"/>
    <w:rsid w:val="3C900B59"/>
    <w:rsid w:val="3CA55253"/>
    <w:rsid w:val="3CAA67E9"/>
    <w:rsid w:val="3CB06189"/>
    <w:rsid w:val="3CB274A9"/>
    <w:rsid w:val="3CCB0BEC"/>
    <w:rsid w:val="3CD64F45"/>
    <w:rsid w:val="3CEF6007"/>
    <w:rsid w:val="3D05582A"/>
    <w:rsid w:val="3D0D46DF"/>
    <w:rsid w:val="3D115F7D"/>
    <w:rsid w:val="3D2C2DB7"/>
    <w:rsid w:val="3D433164"/>
    <w:rsid w:val="3D686779"/>
    <w:rsid w:val="3D931088"/>
    <w:rsid w:val="3D94095C"/>
    <w:rsid w:val="3DAE0557"/>
    <w:rsid w:val="3DB01C3A"/>
    <w:rsid w:val="3DB93583"/>
    <w:rsid w:val="3DCD0535"/>
    <w:rsid w:val="3DE10046"/>
    <w:rsid w:val="3DE27716"/>
    <w:rsid w:val="3DE74A25"/>
    <w:rsid w:val="3DEE5BE0"/>
    <w:rsid w:val="3E037894"/>
    <w:rsid w:val="3E1D4DF6"/>
    <w:rsid w:val="3E3F7E5B"/>
    <w:rsid w:val="3E483C21"/>
    <w:rsid w:val="3E4B3759"/>
    <w:rsid w:val="3E565C0C"/>
    <w:rsid w:val="3E5A7DF8"/>
    <w:rsid w:val="3E6D6943"/>
    <w:rsid w:val="3E8D5AD7"/>
    <w:rsid w:val="3E9A01F4"/>
    <w:rsid w:val="3E9E114D"/>
    <w:rsid w:val="3EA66B99"/>
    <w:rsid w:val="3EC139D3"/>
    <w:rsid w:val="3ED00974"/>
    <w:rsid w:val="3EE36A52"/>
    <w:rsid w:val="3F0D4E6A"/>
    <w:rsid w:val="3F127E08"/>
    <w:rsid w:val="3F2A77CA"/>
    <w:rsid w:val="3F3F4E20"/>
    <w:rsid w:val="3F5900B0"/>
    <w:rsid w:val="3F592485"/>
    <w:rsid w:val="3F6D3A1D"/>
    <w:rsid w:val="3F830C89"/>
    <w:rsid w:val="3F854A01"/>
    <w:rsid w:val="3F93165A"/>
    <w:rsid w:val="3F9B5FD2"/>
    <w:rsid w:val="3FA13194"/>
    <w:rsid w:val="3FA96941"/>
    <w:rsid w:val="3FAF04EC"/>
    <w:rsid w:val="3FC011FF"/>
    <w:rsid w:val="3FC80FAC"/>
    <w:rsid w:val="3FD57736"/>
    <w:rsid w:val="3FE2090E"/>
    <w:rsid w:val="3FE67B95"/>
    <w:rsid w:val="3FE756BB"/>
    <w:rsid w:val="4007130B"/>
    <w:rsid w:val="40074B46"/>
    <w:rsid w:val="401676C7"/>
    <w:rsid w:val="405A1A96"/>
    <w:rsid w:val="405A40DF"/>
    <w:rsid w:val="405E3BCF"/>
    <w:rsid w:val="40646D0C"/>
    <w:rsid w:val="406D4A01"/>
    <w:rsid w:val="408255D3"/>
    <w:rsid w:val="408C11E9"/>
    <w:rsid w:val="408F6F36"/>
    <w:rsid w:val="40AA76C3"/>
    <w:rsid w:val="40BE466E"/>
    <w:rsid w:val="40C559FD"/>
    <w:rsid w:val="40CF7B0A"/>
    <w:rsid w:val="40DD7C19"/>
    <w:rsid w:val="40E65973"/>
    <w:rsid w:val="40F85A70"/>
    <w:rsid w:val="41192270"/>
    <w:rsid w:val="412D5350"/>
    <w:rsid w:val="414A1F2F"/>
    <w:rsid w:val="416A0352"/>
    <w:rsid w:val="4196133D"/>
    <w:rsid w:val="419E141A"/>
    <w:rsid w:val="41B30005"/>
    <w:rsid w:val="41B40BE6"/>
    <w:rsid w:val="41BD5C9F"/>
    <w:rsid w:val="41C07F72"/>
    <w:rsid w:val="41C55588"/>
    <w:rsid w:val="42002A64"/>
    <w:rsid w:val="42164036"/>
    <w:rsid w:val="42216022"/>
    <w:rsid w:val="42415557"/>
    <w:rsid w:val="42415E9F"/>
    <w:rsid w:val="42423CD3"/>
    <w:rsid w:val="424E7DB9"/>
    <w:rsid w:val="42655372"/>
    <w:rsid w:val="426923B8"/>
    <w:rsid w:val="4283250C"/>
    <w:rsid w:val="42925DB2"/>
    <w:rsid w:val="42A717DC"/>
    <w:rsid w:val="42A717E8"/>
    <w:rsid w:val="42CD0B98"/>
    <w:rsid w:val="42EA174A"/>
    <w:rsid w:val="42F742F0"/>
    <w:rsid w:val="43256972"/>
    <w:rsid w:val="433C5D1E"/>
    <w:rsid w:val="4352109E"/>
    <w:rsid w:val="435824A8"/>
    <w:rsid w:val="43721740"/>
    <w:rsid w:val="437A3C7F"/>
    <w:rsid w:val="439873F8"/>
    <w:rsid w:val="43D17B9D"/>
    <w:rsid w:val="43E163F3"/>
    <w:rsid w:val="44103433"/>
    <w:rsid w:val="441F5424"/>
    <w:rsid w:val="44433F0D"/>
    <w:rsid w:val="445826E4"/>
    <w:rsid w:val="44A65B45"/>
    <w:rsid w:val="44A72BE4"/>
    <w:rsid w:val="44AC2A30"/>
    <w:rsid w:val="44C14F4F"/>
    <w:rsid w:val="44D6347B"/>
    <w:rsid w:val="44D72918"/>
    <w:rsid w:val="44F763A1"/>
    <w:rsid w:val="45036AF3"/>
    <w:rsid w:val="451F1453"/>
    <w:rsid w:val="451F6E31"/>
    <w:rsid w:val="4521780D"/>
    <w:rsid w:val="45245B46"/>
    <w:rsid w:val="45256588"/>
    <w:rsid w:val="456E1B4D"/>
    <w:rsid w:val="45740121"/>
    <w:rsid w:val="45780A86"/>
    <w:rsid w:val="45783617"/>
    <w:rsid w:val="45951C57"/>
    <w:rsid w:val="459E5889"/>
    <w:rsid w:val="45A42176"/>
    <w:rsid w:val="45BD7EBD"/>
    <w:rsid w:val="45DD4D12"/>
    <w:rsid w:val="45F270F5"/>
    <w:rsid w:val="45FB77CB"/>
    <w:rsid w:val="46092D6C"/>
    <w:rsid w:val="46150122"/>
    <w:rsid w:val="462A326A"/>
    <w:rsid w:val="46333408"/>
    <w:rsid w:val="46405B25"/>
    <w:rsid w:val="46547605"/>
    <w:rsid w:val="466B0DF4"/>
    <w:rsid w:val="46A44914"/>
    <w:rsid w:val="46B13CF3"/>
    <w:rsid w:val="46BF1C37"/>
    <w:rsid w:val="46C92E45"/>
    <w:rsid w:val="46CD108E"/>
    <w:rsid w:val="46CE5027"/>
    <w:rsid w:val="46E666CD"/>
    <w:rsid w:val="46E927E9"/>
    <w:rsid w:val="46EA477F"/>
    <w:rsid w:val="46EA7AF0"/>
    <w:rsid w:val="46F801AE"/>
    <w:rsid w:val="46F81B3B"/>
    <w:rsid w:val="472D62AC"/>
    <w:rsid w:val="47307948"/>
    <w:rsid w:val="473D4393"/>
    <w:rsid w:val="47411B55"/>
    <w:rsid w:val="474B0621"/>
    <w:rsid w:val="474B1E58"/>
    <w:rsid w:val="476718AB"/>
    <w:rsid w:val="476A1356"/>
    <w:rsid w:val="477C2B8D"/>
    <w:rsid w:val="47C06F1E"/>
    <w:rsid w:val="47E0311C"/>
    <w:rsid w:val="47F646ED"/>
    <w:rsid w:val="47F87A42"/>
    <w:rsid w:val="481D4E77"/>
    <w:rsid w:val="482E7B66"/>
    <w:rsid w:val="4839608B"/>
    <w:rsid w:val="483B65A4"/>
    <w:rsid w:val="48577947"/>
    <w:rsid w:val="488066AD"/>
    <w:rsid w:val="48873598"/>
    <w:rsid w:val="48A333BF"/>
    <w:rsid w:val="48BB1493"/>
    <w:rsid w:val="48C526B9"/>
    <w:rsid w:val="48C60564"/>
    <w:rsid w:val="48D367DD"/>
    <w:rsid w:val="48DE3581"/>
    <w:rsid w:val="48E94697"/>
    <w:rsid w:val="48FA469F"/>
    <w:rsid w:val="49033566"/>
    <w:rsid w:val="4916491B"/>
    <w:rsid w:val="492C413F"/>
    <w:rsid w:val="493A7DF9"/>
    <w:rsid w:val="49753733"/>
    <w:rsid w:val="497E7D84"/>
    <w:rsid w:val="49883A6B"/>
    <w:rsid w:val="498B0E33"/>
    <w:rsid w:val="49A628EB"/>
    <w:rsid w:val="49AB1508"/>
    <w:rsid w:val="49D822B4"/>
    <w:rsid w:val="49E54C1F"/>
    <w:rsid w:val="49EC47D8"/>
    <w:rsid w:val="4A174E9B"/>
    <w:rsid w:val="4A223F51"/>
    <w:rsid w:val="4A474E49"/>
    <w:rsid w:val="4A4C2CEB"/>
    <w:rsid w:val="4A6873F9"/>
    <w:rsid w:val="4A705859"/>
    <w:rsid w:val="4A765E5E"/>
    <w:rsid w:val="4A842484"/>
    <w:rsid w:val="4AA0098A"/>
    <w:rsid w:val="4ABC5DAA"/>
    <w:rsid w:val="4AC54D20"/>
    <w:rsid w:val="4AC96DB7"/>
    <w:rsid w:val="4AD11DB9"/>
    <w:rsid w:val="4ADD1B95"/>
    <w:rsid w:val="4B0D1292"/>
    <w:rsid w:val="4B1C090F"/>
    <w:rsid w:val="4B244825"/>
    <w:rsid w:val="4B2A1023"/>
    <w:rsid w:val="4B2B79F5"/>
    <w:rsid w:val="4B335C59"/>
    <w:rsid w:val="4B3E3AF5"/>
    <w:rsid w:val="4B4F047A"/>
    <w:rsid w:val="4B501FBC"/>
    <w:rsid w:val="4B5366E5"/>
    <w:rsid w:val="4B6B1F63"/>
    <w:rsid w:val="4B887D52"/>
    <w:rsid w:val="4BA34B8C"/>
    <w:rsid w:val="4BA3693A"/>
    <w:rsid w:val="4BE70251"/>
    <w:rsid w:val="4BEB6533"/>
    <w:rsid w:val="4BF45CA4"/>
    <w:rsid w:val="4BF76C86"/>
    <w:rsid w:val="4BFB7DEC"/>
    <w:rsid w:val="4C143242"/>
    <w:rsid w:val="4C251A45"/>
    <w:rsid w:val="4C461C46"/>
    <w:rsid w:val="4C4D4335"/>
    <w:rsid w:val="4C621492"/>
    <w:rsid w:val="4C72630D"/>
    <w:rsid w:val="4C752CF2"/>
    <w:rsid w:val="4C7B34AC"/>
    <w:rsid w:val="4C826EDE"/>
    <w:rsid w:val="4C85295F"/>
    <w:rsid w:val="4CC56D84"/>
    <w:rsid w:val="4CCE685C"/>
    <w:rsid w:val="4CE74F4D"/>
    <w:rsid w:val="4D091149"/>
    <w:rsid w:val="4D0F6102"/>
    <w:rsid w:val="4D1F60FE"/>
    <w:rsid w:val="4D3637DE"/>
    <w:rsid w:val="4D3847C6"/>
    <w:rsid w:val="4D405AA9"/>
    <w:rsid w:val="4D64659D"/>
    <w:rsid w:val="4D73771A"/>
    <w:rsid w:val="4D76043B"/>
    <w:rsid w:val="4D924EB8"/>
    <w:rsid w:val="4D9549A9"/>
    <w:rsid w:val="4D994499"/>
    <w:rsid w:val="4D9C46C0"/>
    <w:rsid w:val="4DB017E2"/>
    <w:rsid w:val="4DBB3031"/>
    <w:rsid w:val="4DBB5BEF"/>
    <w:rsid w:val="4DD65CA8"/>
    <w:rsid w:val="4DFA0CB0"/>
    <w:rsid w:val="4E083F78"/>
    <w:rsid w:val="4E151645"/>
    <w:rsid w:val="4E17716C"/>
    <w:rsid w:val="4E1842B0"/>
    <w:rsid w:val="4E2F1F2E"/>
    <w:rsid w:val="4E4D5283"/>
    <w:rsid w:val="4E524B05"/>
    <w:rsid w:val="4E6F6FA8"/>
    <w:rsid w:val="4E7B5AED"/>
    <w:rsid w:val="4E915170"/>
    <w:rsid w:val="4E991FB1"/>
    <w:rsid w:val="4EA57CFD"/>
    <w:rsid w:val="4EAD360B"/>
    <w:rsid w:val="4EB37B43"/>
    <w:rsid w:val="4EC902DB"/>
    <w:rsid w:val="4EC97D2A"/>
    <w:rsid w:val="4EF445F8"/>
    <w:rsid w:val="4F08532F"/>
    <w:rsid w:val="4F197E87"/>
    <w:rsid w:val="4F1A1613"/>
    <w:rsid w:val="4F234E17"/>
    <w:rsid w:val="4F330F6C"/>
    <w:rsid w:val="4F563CC4"/>
    <w:rsid w:val="4F6463E1"/>
    <w:rsid w:val="4F7E2852"/>
    <w:rsid w:val="4FAB72E0"/>
    <w:rsid w:val="4FB8429D"/>
    <w:rsid w:val="4FCB32EC"/>
    <w:rsid w:val="4FE94B38"/>
    <w:rsid w:val="4FEB0F2B"/>
    <w:rsid w:val="4FEB4083"/>
    <w:rsid w:val="4FFA29DB"/>
    <w:rsid w:val="4FFC22E7"/>
    <w:rsid w:val="500B6EF5"/>
    <w:rsid w:val="500D682C"/>
    <w:rsid w:val="50112078"/>
    <w:rsid w:val="50131BB5"/>
    <w:rsid w:val="50323A13"/>
    <w:rsid w:val="505025CB"/>
    <w:rsid w:val="508E1283"/>
    <w:rsid w:val="5095081C"/>
    <w:rsid w:val="509572AF"/>
    <w:rsid w:val="50974594"/>
    <w:rsid w:val="509B32CD"/>
    <w:rsid w:val="509C0D4E"/>
    <w:rsid w:val="50F419E6"/>
    <w:rsid w:val="51003D90"/>
    <w:rsid w:val="513E460C"/>
    <w:rsid w:val="513F5357"/>
    <w:rsid w:val="51404C2B"/>
    <w:rsid w:val="51450494"/>
    <w:rsid w:val="5158250A"/>
    <w:rsid w:val="5168740F"/>
    <w:rsid w:val="516A7EFA"/>
    <w:rsid w:val="5176064D"/>
    <w:rsid w:val="517D1048"/>
    <w:rsid w:val="518C60C3"/>
    <w:rsid w:val="51C5347F"/>
    <w:rsid w:val="51CC27B4"/>
    <w:rsid w:val="51ED4DB3"/>
    <w:rsid w:val="51F37EF0"/>
    <w:rsid w:val="52171E30"/>
    <w:rsid w:val="52262DE3"/>
    <w:rsid w:val="522B768A"/>
    <w:rsid w:val="523D30FE"/>
    <w:rsid w:val="5257147A"/>
    <w:rsid w:val="525B2B1E"/>
    <w:rsid w:val="52820ABA"/>
    <w:rsid w:val="52AA1961"/>
    <w:rsid w:val="52C75604"/>
    <w:rsid w:val="52E635B0"/>
    <w:rsid w:val="52F56839"/>
    <w:rsid w:val="52F91536"/>
    <w:rsid w:val="52FF1124"/>
    <w:rsid w:val="53053DC9"/>
    <w:rsid w:val="533333F6"/>
    <w:rsid w:val="53510E9A"/>
    <w:rsid w:val="53590490"/>
    <w:rsid w:val="536410A5"/>
    <w:rsid w:val="538867F8"/>
    <w:rsid w:val="53977B6C"/>
    <w:rsid w:val="53AD5CAE"/>
    <w:rsid w:val="53B57DA9"/>
    <w:rsid w:val="53C10006"/>
    <w:rsid w:val="53C102A5"/>
    <w:rsid w:val="53C41B44"/>
    <w:rsid w:val="53C659FC"/>
    <w:rsid w:val="53D8114B"/>
    <w:rsid w:val="53D901B4"/>
    <w:rsid w:val="53DA1367"/>
    <w:rsid w:val="53E53868"/>
    <w:rsid w:val="53F77AD3"/>
    <w:rsid w:val="53FA6C2D"/>
    <w:rsid w:val="53FB16D5"/>
    <w:rsid w:val="53FD6E04"/>
    <w:rsid w:val="540E1011"/>
    <w:rsid w:val="541F65DD"/>
    <w:rsid w:val="54272D2E"/>
    <w:rsid w:val="542E520F"/>
    <w:rsid w:val="546D21DB"/>
    <w:rsid w:val="54700EDE"/>
    <w:rsid w:val="547171CF"/>
    <w:rsid w:val="547D0536"/>
    <w:rsid w:val="549E715C"/>
    <w:rsid w:val="54B24ECB"/>
    <w:rsid w:val="54B67648"/>
    <w:rsid w:val="54C607FF"/>
    <w:rsid w:val="54DB07F6"/>
    <w:rsid w:val="54DD74DC"/>
    <w:rsid w:val="5514083B"/>
    <w:rsid w:val="55216477"/>
    <w:rsid w:val="55286102"/>
    <w:rsid w:val="554C3E64"/>
    <w:rsid w:val="55570796"/>
    <w:rsid w:val="55751299"/>
    <w:rsid w:val="557F72D2"/>
    <w:rsid w:val="55885463"/>
    <w:rsid w:val="558C4ADF"/>
    <w:rsid w:val="5591730E"/>
    <w:rsid w:val="55954F0A"/>
    <w:rsid w:val="55A531BA"/>
    <w:rsid w:val="55AC0AE1"/>
    <w:rsid w:val="55F67FAE"/>
    <w:rsid w:val="55FC4C6B"/>
    <w:rsid w:val="564A39F3"/>
    <w:rsid w:val="56524E22"/>
    <w:rsid w:val="56643B95"/>
    <w:rsid w:val="566E5D97"/>
    <w:rsid w:val="566F25CF"/>
    <w:rsid w:val="567809C3"/>
    <w:rsid w:val="567E247E"/>
    <w:rsid w:val="56925E96"/>
    <w:rsid w:val="56BF65F2"/>
    <w:rsid w:val="56C82AED"/>
    <w:rsid w:val="571B733A"/>
    <w:rsid w:val="572C290E"/>
    <w:rsid w:val="574258EF"/>
    <w:rsid w:val="575555E2"/>
    <w:rsid w:val="57601B83"/>
    <w:rsid w:val="57680A38"/>
    <w:rsid w:val="576A3164"/>
    <w:rsid w:val="5772395E"/>
    <w:rsid w:val="577B076B"/>
    <w:rsid w:val="57D953B4"/>
    <w:rsid w:val="581D355A"/>
    <w:rsid w:val="582342C5"/>
    <w:rsid w:val="583045CA"/>
    <w:rsid w:val="583C31B4"/>
    <w:rsid w:val="58416766"/>
    <w:rsid w:val="584E5E80"/>
    <w:rsid w:val="58725CB2"/>
    <w:rsid w:val="58737694"/>
    <w:rsid w:val="587575E7"/>
    <w:rsid w:val="587E6ADD"/>
    <w:rsid w:val="588F6E1D"/>
    <w:rsid w:val="58902570"/>
    <w:rsid w:val="58951DE3"/>
    <w:rsid w:val="58D147B5"/>
    <w:rsid w:val="58D77C23"/>
    <w:rsid w:val="58E93DFA"/>
    <w:rsid w:val="58ED38EB"/>
    <w:rsid w:val="58ED5699"/>
    <w:rsid w:val="58F944E9"/>
    <w:rsid w:val="59024243"/>
    <w:rsid w:val="590F524D"/>
    <w:rsid w:val="5915699E"/>
    <w:rsid w:val="591E6A79"/>
    <w:rsid w:val="59245BF2"/>
    <w:rsid w:val="59261122"/>
    <w:rsid w:val="59364BCE"/>
    <w:rsid w:val="596B0B42"/>
    <w:rsid w:val="596C0CB3"/>
    <w:rsid w:val="59860B99"/>
    <w:rsid w:val="5990361D"/>
    <w:rsid w:val="59A815C0"/>
    <w:rsid w:val="59B77B3E"/>
    <w:rsid w:val="59D979CB"/>
    <w:rsid w:val="59E05460"/>
    <w:rsid w:val="59FB52EE"/>
    <w:rsid w:val="5A0E58C7"/>
    <w:rsid w:val="5A252C10"/>
    <w:rsid w:val="5A274BDA"/>
    <w:rsid w:val="5A287E9F"/>
    <w:rsid w:val="5A366BCB"/>
    <w:rsid w:val="5A3721D6"/>
    <w:rsid w:val="5A384A12"/>
    <w:rsid w:val="5A3D0E9A"/>
    <w:rsid w:val="5A4968FF"/>
    <w:rsid w:val="5A595C90"/>
    <w:rsid w:val="5A831E7F"/>
    <w:rsid w:val="5A892057"/>
    <w:rsid w:val="5AA17A4D"/>
    <w:rsid w:val="5AA3351D"/>
    <w:rsid w:val="5AAB75B9"/>
    <w:rsid w:val="5AB16058"/>
    <w:rsid w:val="5AFB6BCC"/>
    <w:rsid w:val="5B101B12"/>
    <w:rsid w:val="5B565235"/>
    <w:rsid w:val="5B594324"/>
    <w:rsid w:val="5B7C5F61"/>
    <w:rsid w:val="5BAB20A8"/>
    <w:rsid w:val="5BC052E6"/>
    <w:rsid w:val="5BD963A8"/>
    <w:rsid w:val="5BEC0ED8"/>
    <w:rsid w:val="5C33310A"/>
    <w:rsid w:val="5C3E620B"/>
    <w:rsid w:val="5C45292C"/>
    <w:rsid w:val="5C576E99"/>
    <w:rsid w:val="5C7560D1"/>
    <w:rsid w:val="5C7D47F8"/>
    <w:rsid w:val="5C8D6E04"/>
    <w:rsid w:val="5C985872"/>
    <w:rsid w:val="5CB169DD"/>
    <w:rsid w:val="5CC76201"/>
    <w:rsid w:val="5D095BAE"/>
    <w:rsid w:val="5D1A21B7"/>
    <w:rsid w:val="5D261179"/>
    <w:rsid w:val="5D31181C"/>
    <w:rsid w:val="5D3D64C3"/>
    <w:rsid w:val="5D431D2B"/>
    <w:rsid w:val="5D61436D"/>
    <w:rsid w:val="5D7551E4"/>
    <w:rsid w:val="5D7D357B"/>
    <w:rsid w:val="5DC2126E"/>
    <w:rsid w:val="5DD07337"/>
    <w:rsid w:val="5DD72473"/>
    <w:rsid w:val="5DDB5F28"/>
    <w:rsid w:val="5DEF3829"/>
    <w:rsid w:val="5DF26AD7"/>
    <w:rsid w:val="5E192A8C"/>
    <w:rsid w:val="5E2651A2"/>
    <w:rsid w:val="5E2A018B"/>
    <w:rsid w:val="5E362B48"/>
    <w:rsid w:val="5E3D49CC"/>
    <w:rsid w:val="5E405EE0"/>
    <w:rsid w:val="5E766130"/>
    <w:rsid w:val="5E9B20A4"/>
    <w:rsid w:val="5EAF3794"/>
    <w:rsid w:val="5EB35061"/>
    <w:rsid w:val="5EB804F7"/>
    <w:rsid w:val="5EB96B97"/>
    <w:rsid w:val="5EBC5AB0"/>
    <w:rsid w:val="5F1A4D0E"/>
    <w:rsid w:val="5F2003BF"/>
    <w:rsid w:val="5F546472"/>
    <w:rsid w:val="5F5B662C"/>
    <w:rsid w:val="5F7D0400"/>
    <w:rsid w:val="5F7E2C27"/>
    <w:rsid w:val="5F7F7267"/>
    <w:rsid w:val="5F896DEB"/>
    <w:rsid w:val="5FB011CE"/>
    <w:rsid w:val="5FBC4DD6"/>
    <w:rsid w:val="5FC76EEC"/>
    <w:rsid w:val="5FC80503"/>
    <w:rsid w:val="5FEE066E"/>
    <w:rsid w:val="5FFE462F"/>
    <w:rsid w:val="6005390F"/>
    <w:rsid w:val="600E1340"/>
    <w:rsid w:val="6014175D"/>
    <w:rsid w:val="60145C01"/>
    <w:rsid w:val="604162CA"/>
    <w:rsid w:val="605A10E8"/>
    <w:rsid w:val="6126701B"/>
    <w:rsid w:val="61297CA0"/>
    <w:rsid w:val="612A47CD"/>
    <w:rsid w:val="61887CF4"/>
    <w:rsid w:val="61891CD7"/>
    <w:rsid w:val="61B03707"/>
    <w:rsid w:val="61BA4586"/>
    <w:rsid w:val="61E679A3"/>
    <w:rsid w:val="623C4F9B"/>
    <w:rsid w:val="62451509"/>
    <w:rsid w:val="62614A02"/>
    <w:rsid w:val="626C5880"/>
    <w:rsid w:val="62797F9D"/>
    <w:rsid w:val="62925239"/>
    <w:rsid w:val="62944DD7"/>
    <w:rsid w:val="62A40365"/>
    <w:rsid w:val="62D046B7"/>
    <w:rsid w:val="62E418BB"/>
    <w:rsid w:val="62F35FA1"/>
    <w:rsid w:val="62FB09B2"/>
    <w:rsid w:val="62FD436C"/>
    <w:rsid w:val="630006BE"/>
    <w:rsid w:val="630A2375"/>
    <w:rsid w:val="630B09B9"/>
    <w:rsid w:val="631B1D79"/>
    <w:rsid w:val="6336383D"/>
    <w:rsid w:val="63433AB8"/>
    <w:rsid w:val="634405AB"/>
    <w:rsid w:val="63666773"/>
    <w:rsid w:val="636F49E1"/>
    <w:rsid w:val="638906B4"/>
    <w:rsid w:val="639B604D"/>
    <w:rsid w:val="63A009AA"/>
    <w:rsid w:val="63A6470A"/>
    <w:rsid w:val="63B219B9"/>
    <w:rsid w:val="63B52372"/>
    <w:rsid w:val="63C33BC6"/>
    <w:rsid w:val="63DE3024"/>
    <w:rsid w:val="63EF573C"/>
    <w:rsid w:val="640D3093"/>
    <w:rsid w:val="641D67AE"/>
    <w:rsid w:val="64236413"/>
    <w:rsid w:val="64472529"/>
    <w:rsid w:val="64480E21"/>
    <w:rsid w:val="645263D4"/>
    <w:rsid w:val="64632CB3"/>
    <w:rsid w:val="64757A87"/>
    <w:rsid w:val="647F102C"/>
    <w:rsid w:val="64850E7B"/>
    <w:rsid w:val="648A46E4"/>
    <w:rsid w:val="64992549"/>
    <w:rsid w:val="64996965"/>
    <w:rsid w:val="64A37553"/>
    <w:rsid w:val="64A4332E"/>
    <w:rsid w:val="64E536C8"/>
    <w:rsid w:val="64F46001"/>
    <w:rsid w:val="64FD6C64"/>
    <w:rsid w:val="65011063"/>
    <w:rsid w:val="65271B49"/>
    <w:rsid w:val="65463553"/>
    <w:rsid w:val="65515201"/>
    <w:rsid w:val="655578CE"/>
    <w:rsid w:val="6557374A"/>
    <w:rsid w:val="655B149C"/>
    <w:rsid w:val="65683CCF"/>
    <w:rsid w:val="657131AE"/>
    <w:rsid w:val="65767166"/>
    <w:rsid w:val="657D2C91"/>
    <w:rsid w:val="65873AFC"/>
    <w:rsid w:val="65895ACC"/>
    <w:rsid w:val="65947C00"/>
    <w:rsid w:val="65E63B9C"/>
    <w:rsid w:val="6607721B"/>
    <w:rsid w:val="66162BE2"/>
    <w:rsid w:val="66485045"/>
    <w:rsid w:val="665F3880"/>
    <w:rsid w:val="667F6CCE"/>
    <w:rsid w:val="66991328"/>
    <w:rsid w:val="66AF3F8D"/>
    <w:rsid w:val="66B96DA9"/>
    <w:rsid w:val="66C832A1"/>
    <w:rsid w:val="66CF0C46"/>
    <w:rsid w:val="66D02156"/>
    <w:rsid w:val="66E04A8F"/>
    <w:rsid w:val="66EA3C0F"/>
    <w:rsid w:val="66EB31E7"/>
    <w:rsid w:val="66FC2F4B"/>
    <w:rsid w:val="67073CBD"/>
    <w:rsid w:val="6711773E"/>
    <w:rsid w:val="67516D6A"/>
    <w:rsid w:val="675731A2"/>
    <w:rsid w:val="67840F09"/>
    <w:rsid w:val="67D0065F"/>
    <w:rsid w:val="67D65514"/>
    <w:rsid w:val="67D975ED"/>
    <w:rsid w:val="67EB36EB"/>
    <w:rsid w:val="67EB5499"/>
    <w:rsid w:val="67ED7463"/>
    <w:rsid w:val="6814691C"/>
    <w:rsid w:val="682004F6"/>
    <w:rsid w:val="68212C69"/>
    <w:rsid w:val="68234B28"/>
    <w:rsid w:val="683906D6"/>
    <w:rsid w:val="684410B7"/>
    <w:rsid w:val="685001B7"/>
    <w:rsid w:val="685F3791"/>
    <w:rsid w:val="686A029C"/>
    <w:rsid w:val="68A51AEC"/>
    <w:rsid w:val="68BA24A7"/>
    <w:rsid w:val="68C301C4"/>
    <w:rsid w:val="68D4413E"/>
    <w:rsid w:val="68E36170"/>
    <w:rsid w:val="68E606F3"/>
    <w:rsid w:val="68E818DC"/>
    <w:rsid w:val="68F86564"/>
    <w:rsid w:val="6902504E"/>
    <w:rsid w:val="6903359D"/>
    <w:rsid w:val="691B0000"/>
    <w:rsid w:val="6922138F"/>
    <w:rsid w:val="69321F89"/>
    <w:rsid w:val="69351BD6"/>
    <w:rsid w:val="69562DE6"/>
    <w:rsid w:val="6956585F"/>
    <w:rsid w:val="69756A30"/>
    <w:rsid w:val="69790883"/>
    <w:rsid w:val="697D2D72"/>
    <w:rsid w:val="699120AA"/>
    <w:rsid w:val="69C02956"/>
    <w:rsid w:val="69C6020C"/>
    <w:rsid w:val="69C653E0"/>
    <w:rsid w:val="69CE6E20"/>
    <w:rsid w:val="69D93A29"/>
    <w:rsid w:val="69EE301F"/>
    <w:rsid w:val="69F46196"/>
    <w:rsid w:val="6A0265A2"/>
    <w:rsid w:val="6A0803D5"/>
    <w:rsid w:val="6A1B094B"/>
    <w:rsid w:val="6A2206FF"/>
    <w:rsid w:val="6A3D7C62"/>
    <w:rsid w:val="6A462A80"/>
    <w:rsid w:val="6A7651ED"/>
    <w:rsid w:val="6A77650A"/>
    <w:rsid w:val="6AAD425D"/>
    <w:rsid w:val="6AC6682F"/>
    <w:rsid w:val="6B256F14"/>
    <w:rsid w:val="6B2A0DC4"/>
    <w:rsid w:val="6B3929BF"/>
    <w:rsid w:val="6B573212"/>
    <w:rsid w:val="6B6F63E1"/>
    <w:rsid w:val="6B7674A7"/>
    <w:rsid w:val="6B7C1A50"/>
    <w:rsid w:val="6B824366"/>
    <w:rsid w:val="6B8A753C"/>
    <w:rsid w:val="6BBA3B00"/>
    <w:rsid w:val="6BC54253"/>
    <w:rsid w:val="6C361160"/>
    <w:rsid w:val="6C39110E"/>
    <w:rsid w:val="6C3F4A4B"/>
    <w:rsid w:val="6C411B2C"/>
    <w:rsid w:val="6C45090D"/>
    <w:rsid w:val="6C5F62E3"/>
    <w:rsid w:val="6C6419ED"/>
    <w:rsid w:val="6C9205D9"/>
    <w:rsid w:val="6CA64085"/>
    <w:rsid w:val="6CAB169B"/>
    <w:rsid w:val="6CB56076"/>
    <w:rsid w:val="6CE4695B"/>
    <w:rsid w:val="6CEB6455"/>
    <w:rsid w:val="6CF5474A"/>
    <w:rsid w:val="6D0E2323"/>
    <w:rsid w:val="6D156C59"/>
    <w:rsid w:val="6D3F3B91"/>
    <w:rsid w:val="6D4A0EB4"/>
    <w:rsid w:val="6D7554A1"/>
    <w:rsid w:val="6D8000F6"/>
    <w:rsid w:val="6D83727B"/>
    <w:rsid w:val="6DA26419"/>
    <w:rsid w:val="6DAC1227"/>
    <w:rsid w:val="6DC8010A"/>
    <w:rsid w:val="6DD864C0"/>
    <w:rsid w:val="6DE0742F"/>
    <w:rsid w:val="6DFD4338"/>
    <w:rsid w:val="6E066200"/>
    <w:rsid w:val="6E0A7D76"/>
    <w:rsid w:val="6E123D5B"/>
    <w:rsid w:val="6E1312A6"/>
    <w:rsid w:val="6E3B1912"/>
    <w:rsid w:val="6E4E22DE"/>
    <w:rsid w:val="6E5422CD"/>
    <w:rsid w:val="6E602011"/>
    <w:rsid w:val="6E646698"/>
    <w:rsid w:val="6E6533BE"/>
    <w:rsid w:val="6E7659E3"/>
    <w:rsid w:val="6E797548"/>
    <w:rsid w:val="6E7C7823"/>
    <w:rsid w:val="6E8354DD"/>
    <w:rsid w:val="6E8509E0"/>
    <w:rsid w:val="6E896911"/>
    <w:rsid w:val="6EC21FDA"/>
    <w:rsid w:val="6ED7604D"/>
    <w:rsid w:val="6EE42C42"/>
    <w:rsid w:val="6EF56562"/>
    <w:rsid w:val="6EFC2289"/>
    <w:rsid w:val="6EFC72E3"/>
    <w:rsid w:val="6F01162E"/>
    <w:rsid w:val="6F0137F4"/>
    <w:rsid w:val="6F124CD5"/>
    <w:rsid w:val="6F146FCA"/>
    <w:rsid w:val="6F1928EC"/>
    <w:rsid w:val="6F196D90"/>
    <w:rsid w:val="6F233313"/>
    <w:rsid w:val="6F7C183E"/>
    <w:rsid w:val="6F830281"/>
    <w:rsid w:val="6F9E54E7"/>
    <w:rsid w:val="6FA10B33"/>
    <w:rsid w:val="6FA348AB"/>
    <w:rsid w:val="6FB2689C"/>
    <w:rsid w:val="6FB72105"/>
    <w:rsid w:val="6FD57A62"/>
    <w:rsid w:val="6FD9207B"/>
    <w:rsid w:val="6FE23F51"/>
    <w:rsid w:val="6FE56E11"/>
    <w:rsid w:val="6FF9271D"/>
    <w:rsid w:val="70003AAC"/>
    <w:rsid w:val="70007FAE"/>
    <w:rsid w:val="701632CF"/>
    <w:rsid w:val="702A28D7"/>
    <w:rsid w:val="70307980"/>
    <w:rsid w:val="70441BEA"/>
    <w:rsid w:val="70457C9F"/>
    <w:rsid w:val="7058635C"/>
    <w:rsid w:val="70710506"/>
    <w:rsid w:val="708B1761"/>
    <w:rsid w:val="709A5CAE"/>
    <w:rsid w:val="70A42B25"/>
    <w:rsid w:val="70DD3DED"/>
    <w:rsid w:val="70F133F4"/>
    <w:rsid w:val="70F53E83"/>
    <w:rsid w:val="71105F71"/>
    <w:rsid w:val="71602545"/>
    <w:rsid w:val="71663DE2"/>
    <w:rsid w:val="71681909"/>
    <w:rsid w:val="71726BC2"/>
    <w:rsid w:val="717A2F69"/>
    <w:rsid w:val="71922BEA"/>
    <w:rsid w:val="719705ED"/>
    <w:rsid w:val="71A52B5D"/>
    <w:rsid w:val="71A566B9"/>
    <w:rsid w:val="71BE7E25"/>
    <w:rsid w:val="71C9401E"/>
    <w:rsid w:val="71D60F68"/>
    <w:rsid w:val="71E03465"/>
    <w:rsid w:val="71FD7D12"/>
    <w:rsid w:val="72062ED0"/>
    <w:rsid w:val="720C3D16"/>
    <w:rsid w:val="72165F48"/>
    <w:rsid w:val="72217AF4"/>
    <w:rsid w:val="7232276A"/>
    <w:rsid w:val="724B5EF1"/>
    <w:rsid w:val="72522C1D"/>
    <w:rsid w:val="726D3944"/>
    <w:rsid w:val="727278DF"/>
    <w:rsid w:val="72850298"/>
    <w:rsid w:val="729F13E6"/>
    <w:rsid w:val="72A46970"/>
    <w:rsid w:val="72B15531"/>
    <w:rsid w:val="72DB645C"/>
    <w:rsid w:val="72E2393D"/>
    <w:rsid w:val="73072E45"/>
    <w:rsid w:val="7314077F"/>
    <w:rsid w:val="73267821"/>
    <w:rsid w:val="733A5EBA"/>
    <w:rsid w:val="73524DC0"/>
    <w:rsid w:val="73637B5C"/>
    <w:rsid w:val="73776ECE"/>
    <w:rsid w:val="7399224D"/>
    <w:rsid w:val="73A0182E"/>
    <w:rsid w:val="73AD3C4B"/>
    <w:rsid w:val="73BB6AAE"/>
    <w:rsid w:val="73FC458A"/>
    <w:rsid w:val="73FD758F"/>
    <w:rsid w:val="74035919"/>
    <w:rsid w:val="74250B99"/>
    <w:rsid w:val="742A7022"/>
    <w:rsid w:val="74367A9C"/>
    <w:rsid w:val="7444547F"/>
    <w:rsid w:val="744523D5"/>
    <w:rsid w:val="744E0C7C"/>
    <w:rsid w:val="74854857"/>
    <w:rsid w:val="748C590E"/>
    <w:rsid w:val="74962C31"/>
    <w:rsid w:val="74B01171"/>
    <w:rsid w:val="74CA4688"/>
    <w:rsid w:val="74DA0D6F"/>
    <w:rsid w:val="74EE5C6C"/>
    <w:rsid w:val="75093C46"/>
    <w:rsid w:val="752E2C21"/>
    <w:rsid w:val="7538448B"/>
    <w:rsid w:val="7541494A"/>
    <w:rsid w:val="755A1EB0"/>
    <w:rsid w:val="75671FC0"/>
    <w:rsid w:val="75770346"/>
    <w:rsid w:val="757C1DCD"/>
    <w:rsid w:val="75806127"/>
    <w:rsid w:val="7580761F"/>
    <w:rsid w:val="75874327"/>
    <w:rsid w:val="75894543"/>
    <w:rsid w:val="758E0DAE"/>
    <w:rsid w:val="75A03D67"/>
    <w:rsid w:val="75CA0DE4"/>
    <w:rsid w:val="75D51F38"/>
    <w:rsid w:val="75DC0C0F"/>
    <w:rsid w:val="75E342F5"/>
    <w:rsid w:val="75E66FE6"/>
    <w:rsid w:val="76285B0A"/>
    <w:rsid w:val="763D71E0"/>
    <w:rsid w:val="76424E1E"/>
    <w:rsid w:val="76700981"/>
    <w:rsid w:val="76AD07C1"/>
    <w:rsid w:val="76D31F1A"/>
    <w:rsid w:val="76FD3803"/>
    <w:rsid w:val="770D29A8"/>
    <w:rsid w:val="771B0EB5"/>
    <w:rsid w:val="771F2069"/>
    <w:rsid w:val="77275DC2"/>
    <w:rsid w:val="772C5186"/>
    <w:rsid w:val="77302044"/>
    <w:rsid w:val="773C7ABF"/>
    <w:rsid w:val="7749397A"/>
    <w:rsid w:val="77503373"/>
    <w:rsid w:val="775F730A"/>
    <w:rsid w:val="77664B3C"/>
    <w:rsid w:val="77775144"/>
    <w:rsid w:val="779F635D"/>
    <w:rsid w:val="77C47AB5"/>
    <w:rsid w:val="77D777E8"/>
    <w:rsid w:val="77E52253"/>
    <w:rsid w:val="77EB6CFE"/>
    <w:rsid w:val="77F830D7"/>
    <w:rsid w:val="781E51D4"/>
    <w:rsid w:val="782846F7"/>
    <w:rsid w:val="785556C8"/>
    <w:rsid w:val="787123AB"/>
    <w:rsid w:val="788C28A9"/>
    <w:rsid w:val="78C017CD"/>
    <w:rsid w:val="78CD417B"/>
    <w:rsid w:val="78DD498A"/>
    <w:rsid w:val="78E54A43"/>
    <w:rsid w:val="78F26015"/>
    <w:rsid w:val="79080259"/>
    <w:rsid w:val="791B54B2"/>
    <w:rsid w:val="79202AC9"/>
    <w:rsid w:val="79336CA0"/>
    <w:rsid w:val="7937043A"/>
    <w:rsid w:val="793822CF"/>
    <w:rsid w:val="794546B9"/>
    <w:rsid w:val="7950294E"/>
    <w:rsid w:val="79556202"/>
    <w:rsid w:val="799022FC"/>
    <w:rsid w:val="79A67472"/>
    <w:rsid w:val="79D416C9"/>
    <w:rsid w:val="79F32E78"/>
    <w:rsid w:val="7A0D4F07"/>
    <w:rsid w:val="7A0F605F"/>
    <w:rsid w:val="7A100D8F"/>
    <w:rsid w:val="7A1F6A79"/>
    <w:rsid w:val="7A307FB7"/>
    <w:rsid w:val="7A4F4830"/>
    <w:rsid w:val="7A5F2CF9"/>
    <w:rsid w:val="7A704466"/>
    <w:rsid w:val="7A7430CC"/>
    <w:rsid w:val="7ADB657C"/>
    <w:rsid w:val="7AF95952"/>
    <w:rsid w:val="7B120866"/>
    <w:rsid w:val="7B1B5C3E"/>
    <w:rsid w:val="7B203254"/>
    <w:rsid w:val="7B3D7962"/>
    <w:rsid w:val="7B4D11A2"/>
    <w:rsid w:val="7B8B2153"/>
    <w:rsid w:val="7B9D2AF7"/>
    <w:rsid w:val="7BAE00F8"/>
    <w:rsid w:val="7BB01DE3"/>
    <w:rsid w:val="7BB045D8"/>
    <w:rsid w:val="7BB1158C"/>
    <w:rsid w:val="7BC902A6"/>
    <w:rsid w:val="7BD15362"/>
    <w:rsid w:val="7BF918F5"/>
    <w:rsid w:val="7C06196B"/>
    <w:rsid w:val="7C1945AC"/>
    <w:rsid w:val="7C251A12"/>
    <w:rsid w:val="7C3B71FC"/>
    <w:rsid w:val="7C3C3F75"/>
    <w:rsid w:val="7C6B49A3"/>
    <w:rsid w:val="7C705B15"/>
    <w:rsid w:val="7C7236B9"/>
    <w:rsid w:val="7C943EFA"/>
    <w:rsid w:val="7CA81753"/>
    <w:rsid w:val="7CAB7C4F"/>
    <w:rsid w:val="7CCB2DEE"/>
    <w:rsid w:val="7CDF5409"/>
    <w:rsid w:val="7CE77C2C"/>
    <w:rsid w:val="7CEC4EFF"/>
    <w:rsid w:val="7CF15A77"/>
    <w:rsid w:val="7CF45E54"/>
    <w:rsid w:val="7D0F3580"/>
    <w:rsid w:val="7D1D629E"/>
    <w:rsid w:val="7D2C64CA"/>
    <w:rsid w:val="7D380D29"/>
    <w:rsid w:val="7D4D6BCF"/>
    <w:rsid w:val="7D657D22"/>
    <w:rsid w:val="7DAA5693"/>
    <w:rsid w:val="7DB859C6"/>
    <w:rsid w:val="7DC642D2"/>
    <w:rsid w:val="7DDA74B7"/>
    <w:rsid w:val="7DEC6BF7"/>
    <w:rsid w:val="7DF43A51"/>
    <w:rsid w:val="7DFC3574"/>
    <w:rsid w:val="7E1075B0"/>
    <w:rsid w:val="7E1B3131"/>
    <w:rsid w:val="7E1F77F3"/>
    <w:rsid w:val="7E2430B7"/>
    <w:rsid w:val="7E26553A"/>
    <w:rsid w:val="7E4159BB"/>
    <w:rsid w:val="7E4D4360"/>
    <w:rsid w:val="7E834226"/>
    <w:rsid w:val="7EB663A9"/>
    <w:rsid w:val="7EFC18E2"/>
    <w:rsid w:val="7F1C7D03"/>
    <w:rsid w:val="7F1D7E0B"/>
    <w:rsid w:val="7F294B2C"/>
    <w:rsid w:val="7F3038BB"/>
    <w:rsid w:val="7F5D22A2"/>
    <w:rsid w:val="7F5E4267"/>
    <w:rsid w:val="7F751728"/>
    <w:rsid w:val="7F793295"/>
    <w:rsid w:val="7F875650"/>
    <w:rsid w:val="7F9A1896"/>
    <w:rsid w:val="7FB63BBF"/>
    <w:rsid w:val="7FBA0896"/>
    <w:rsid w:val="7FCE327F"/>
    <w:rsid w:val="7FD36AE7"/>
    <w:rsid w:val="7FD86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qFormat/>
    <w:uiPriority w:val="0"/>
    <w:pPr>
      <w:keepNext/>
      <w:keepLines/>
      <w:widowControl w:val="0"/>
      <w:spacing w:before="340" w:after="330" w:line="576" w:lineRule="auto"/>
      <w:outlineLvl w:val="0"/>
    </w:pPr>
    <w:rPr>
      <w:b/>
      <w:bCs/>
      <w:kern w:val="44"/>
      <w:sz w:val="44"/>
      <w:szCs w:val="44"/>
    </w:rPr>
  </w:style>
  <w:style w:type="paragraph" w:styleId="9">
    <w:name w:val="heading 2"/>
    <w:basedOn w:val="1"/>
    <w:next w:val="1"/>
    <w:qFormat/>
    <w:uiPriority w:val="0"/>
    <w:pPr>
      <w:keepNext/>
      <w:keepLines/>
      <w:widowControl w:val="0"/>
      <w:spacing w:before="260" w:after="260" w:line="413" w:lineRule="auto"/>
      <w:outlineLvl w:val="1"/>
    </w:pPr>
    <w:rPr>
      <w:rFonts w:ascii="Arial" w:hAnsi="Arial" w:eastAsia="黑体"/>
      <w:b/>
      <w:bCs/>
      <w:sz w:val="32"/>
      <w:szCs w:val="32"/>
    </w:rPr>
  </w:style>
  <w:style w:type="paragraph" w:styleId="10">
    <w:name w:val="heading 3"/>
    <w:basedOn w:val="1"/>
    <w:next w:val="1"/>
    <w:qFormat/>
    <w:uiPriority w:val="0"/>
    <w:pPr>
      <w:keepNext/>
      <w:keepLines/>
      <w:widowControl w:val="0"/>
      <w:spacing w:before="120" w:after="120"/>
      <w:outlineLvl w:val="2"/>
    </w:pPr>
    <w:rPr>
      <w:rFonts w:ascii="宋体"/>
      <w:b/>
      <w:bCs/>
      <w:sz w:val="24"/>
    </w:rPr>
  </w:style>
  <w:style w:type="paragraph" w:styleId="11">
    <w:name w:val="heading 4"/>
    <w:basedOn w:val="1"/>
    <w:next w:val="1"/>
    <w:qFormat/>
    <w:uiPriority w:val="0"/>
    <w:pPr>
      <w:keepNext/>
      <w:keepLines/>
      <w:widowControl w:val="0"/>
      <w:spacing w:before="280" w:after="290" w:line="372" w:lineRule="auto"/>
      <w:outlineLvl w:val="3"/>
    </w:pPr>
    <w:rPr>
      <w:rFonts w:ascii="Arial" w:hAnsi="Arial" w:eastAsia="黑体"/>
      <w:b/>
      <w:bCs/>
      <w:sz w:val="28"/>
      <w:szCs w:val="28"/>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line="360" w:lineRule="auto"/>
      <w:ind w:firstLine="100" w:firstLineChars="100"/>
      <w:outlineLvl w:val="0"/>
    </w:pPr>
    <w:rPr>
      <w:bCs/>
      <w:color w:val="000000"/>
      <w:kern w:val="28"/>
      <w:szCs w:val="21"/>
    </w:rPr>
  </w:style>
  <w:style w:type="paragraph" w:styleId="3">
    <w:name w:val="Body Text"/>
    <w:basedOn w:val="1"/>
    <w:next w:val="4"/>
    <w:qFormat/>
    <w:uiPriority w:val="0"/>
    <w:pPr>
      <w:spacing w:after="120"/>
    </w:pPr>
    <w:rPr>
      <w:rFonts w:ascii="Tahoma" w:hAnsi="Tahoma"/>
    </w:rPr>
  </w:style>
  <w:style w:type="paragraph" w:styleId="4">
    <w:name w:val="Body Text 2"/>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First Indent 2"/>
    <w:basedOn w:val="6"/>
    <w:qFormat/>
    <w:uiPriority w:val="0"/>
    <w:pPr>
      <w:overflowPunct w:val="0"/>
      <w:adjustRightInd w:val="0"/>
      <w:spacing w:line="500" w:lineRule="exact"/>
      <w:ind w:firstLine="200" w:firstLineChars="200"/>
      <w:textAlignment w:val="baseline"/>
    </w:pPr>
    <w:rPr>
      <w:rFonts w:eastAsia="仿宋_GB2312"/>
      <w:kern w:val="28"/>
      <w:sz w:val="28"/>
    </w:rPr>
  </w:style>
  <w:style w:type="paragraph" w:styleId="6">
    <w:name w:val="Body Text Indent"/>
    <w:basedOn w:val="1"/>
    <w:next w:val="7"/>
    <w:qFormat/>
    <w:uiPriority w:val="0"/>
    <w:pPr>
      <w:spacing w:after="120"/>
      <w:ind w:left="200" w:leftChars="200"/>
    </w:pPr>
    <w:rPr>
      <w:rFonts w:ascii="Calibri" w:hAnsi="Calibri" w:cs="黑体"/>
      <w:lang w:bidi="ar-SA"/>
    </w:rPr>
  </w:style>
  <w:style w:type="paragraph" w:styleId="7">
    <w:name w:val="envelope return"/>
    <w:basedOn w:val="1"/>
    <w:qFormat/>
    <w:uiPriority w:val="0"/>
    <w:pPr>
      <w:snapToGrid w:val="0"/>
    </w:pPr>
    <w:rPr>
      <w:rFonts w:ascii="Arial" w:hAnsi="Arial"/>
    </w:rPr>
  </w:style>
  <w:style w:type="paragraph" w:styleId="12">
    <w:name w:val="toa heading"/>
    <w:basedOn w:val="1"/>
    <w:next w:val="1"/>
    <w:qFormat/>
    <w:uiPriority w:val="0"/>
    <w:pPr>
      <w:spacing w:before="120"/>
    </w:pPr>
    <w:rPr>
      <w:rFonts w:ascii="Arial" w:hAnsi="Arial" w:eastAsia="宋体" w:cs="Arial"/>
      <w:sz w:val="24"/>
    </w:rPr>
  </w:style>
  <w:style w:type="paragraph" w:styleId="13">
    <w:name w:val="annotation text"/>
    <w:basedOn w:val="1"/>
    <w:qFormat/>
    <w:uiPriority w:val="0"/>
    <w:pPr>
      <w:jc w:val="left"/>
    </w:pPr>
  </w:style>
  <w:style w:type="paragraph" w:styleId="14">
    <w:name w:val="Plain Text"/>
    <w:basedOn w:val="1"/>
    <w:next w:val="3"/>
    <w:qFormat/>
    <w:uiPriority w:val="0"/>
    <w:rPr>
      <w:rFonts w:ascii="Courier New" w:hAnsi="Courier New" w:cs="黑体"/>
      <w:szCs w:val="22"/>
      <w:lang w:bidi="ar-SA"/>
    </w:rPr>
  </w:style>
  <w:style w:type="paragraph" w:styleId="15">
    <w:name w:val="footer"/>
    <w:basedOn w:val="1"/>
    <w:qFormat/>
    <w:uiPriority w:val="0"/>
    <w:pPr>
      <w:tabs>
        <w:tab w:val="center" w:pos="4153"/>
        <w:tab w:val="right" w:pos="8306"/>
      </w:tabs>
      <w:snapToGrid w:val="0"/>
      <w:jc w:val="left"/>
    </w:pPr>
    <w:rPr>
      <w:rFonts w:ascii="Calibri" w:hAnsi="Calibri" w:cs="黑体"/>
      <w:sz w:val="18"/>
      <w:szCs w:val="18"/>
      <w:lang w:bidi="ar-SA"/>
    </w:rPr>
  </w:style>
  <w:style w:type="paragraph" w:styleId="16">
    <w:name w:val="header"/>
    <w:basedOn w:val="1"/>
    <w:qFormat/>
    <w:uiPriority w:val="0"/>
    <w:pPr>
      <w:pBdr>
        <w:bottom w:val="single" w:color="auto" w:sz="6" w:space="1"/>
      </w:pBdr>
      <w:tabs>
        <w:tab w:val="center" w:pos="4153"/>
        <w:tab w:val="right" w:pos="8306"/>
      </w:tabs>
      <w:snapToGrid w:val="0"/>
      <w:jc w:val="center"/>
    </w:pPr>
    <w:rPr>
      <w:rFonts w:ascii="Calibri" w:hAnsi="Calibri" w:cs="黑体"/>
      <w:sz w:val="18"/>
      <w:szCs w:val="18"/>
      <w:lang w:bidi="ar-SA"/>
    </w:rPr>
  </w:style>
  <w:style w:type="paragraph" w:styleId="17">
    <w:name w:val="toc 2"/>
    <w:basedOn w:val="1"/>
    <w:next w:val="1"/>
    <w:qFormat/>
    <w:uiPriority w:val="0"/>
    <w:pPr>
      <w:tabs>
        <w:tab w:val="right" w:leader="dot" w:pos="9118"/>
      </w:tabs>
      <w:spacing w:line="560" w:lineRule="exact"/>
      <w:ind w:left="210"/>
      <w:jc w:val="left"/>
    </w:pPr>
    <w:rPr>
      <w:smallCaps/>
      <w:sz w:val="20"/>
      <w:szCs w:val="20"/>
    </w:r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1">
    <w:name w:val="List Paragraph"/>
    <w:basedOn w:val="1"/>
    <w:qFormat/>
    <w:uiPriority w:val="34"/>
    <w:pPr>
      <w:ind w:left="720"/>
      <w:contextualSpacing/>
    </w:pPr>
    <w:rPr>
      <w:rFonts w:ascii="Calibri" w:hAnsi="Calibri"/>
      <w:szCs w:val="22"/>
    </w:rPr>
  </w:style>
  <w:style w:type="paragraph" w:customStyle="1" w:styleId="22">
    <w:name w:val="Default"/>
    <w:next w:val="1"/>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3">
    <w:name w:val="WPSOffice手动目录 1"/>
    <w:qFormat/>
    <w:uiPriority w:val="0"/>
    <w:rPr>
      <w:rFonts w:ascii="Times New Roman" w:hAnsi="Times New Roman" w:eastAsia="宋体" w:cs="Times New Roman"/>
      <w:sz w:val="20"/>
      <w:szCs w:val="20"/>
      <w:lang w:val="en-US" w:eastAsia="zh-CN" w:bidi="ar-SA"/>
    </w:rPr>
  </w:style>
  <w:style w:type="paragraph" w:customStyle="1" w:styleId="24">
    <w:name w:val="列出段落11"/>
    <w:basedOn w:val="1"/>
    <w:qFormat/>
    <w:uiPriority w:val="0"/>
    <w:pPr>
      <w:ind w:firstLine="200" w:firstLineChars="200"/>
    </w:pPr>
    <w:rPr>
      <w:rFonts w:ascii="Calibri" w:hAnsi="Calibri"/>
      <w:szCs w:val="22"/>
    </w:rPr>
  </w:style>
  <w:style w:type="paragraph" w:customStyle="1" w:styleId="25">
    <w:name w:val="无间隔1"/>
    <w:basedOn w:val="1"/>
    <w:qFormat/>
    <w:uiPriority w:val="0"/>
    <w:pPr>
      <w:spacing w:line="400" w:lineRule="exact"/>
    </w:pPr>
    <w:rPr>
      <w:sz w:val="24"/>
    </w:rPr>
  </w:style>
  <w:style w:type="paragraph" w:customStyle="1" w:styleId="26">
    <w:name w:val="样式 标题 3 + (中文) 黑体 小四 非加粗 段前: 7.8 磅 段后: 0 磅 行距: 固定值 20 磅"/>
    <w:basedOn w:val="10"/>
    <w:qFormat/>
    <w:uiPriority w:val="0"/>
    <w:pPr>
      <w:spacing w:before="0" w:after="0" w:line="400" w:lineRule="exact"/>
    </w:pPr>
    <w:rPr>
      <w:rFonts w:eastAsia="黑体" w:cs="宋体"/>
      <w:b w:val="0"/>
      <w:bCs w:val="0"/>
      <w:szCs w:val="20"/>
      <w:lang w:bidi="ar-SA"/>
    </w:rPr>
  </w:style>
  <w:style w:type="paragraph" w:customStyle="1" w:styleId="27">
    <w:name w:val="样式 标题 2 + Times New Roman 四号 非加粗 段前: 5 磅 段后: 0 磅 行距: 固定值 20..."/>
    <w:basedOn w:val="9"/>
    <w:qFormat/>
    <w:uiPriority w:val="0"/>
    <w:pPr>
      <w:spacing w:before="100" w:after="0" w:line="400" w:lineRule="exact"/>
    </w:pPr>
    <w:rPr>
      <w:rFonts w:ascii="Times New Roman" w:hAnsi="Times New Roman" w:cs="宋体"/>
      <w:b w:val="0"/>
      <w:bCs w:val="0"/>
      <w:sz w:val="28"/>
      <w:szCs w:val="20"/>
      <w:lang w:bidi="ar-SA"/>
    </w:rPr>
  </w:style>
  <w:style w:type="paragraph" w:customStyle="1" w:styleId="28">
    <w:name w:val="正文首行缩进 21"/>
    <w:basedOn w:val="29"/>
    <w:qFormat/>
    <w:uiPriority w:val="0"/>
    <w:pPr>
      <w:overflowPunct w:val="0"/>
      <w:adjustRightInd w:val="0"/>
      <w:spacing w:line="500" w:lineRule="exact"/>
      <w:ind w:firstLine="200" w:firstLineChars="200"/>
      <w:textAlignment w:val="baseline"/>
    </w:pPr>
    <w:rPr>
      <w:rFonts w:eastAsia="仿宋_GB2312"/>
      <w:kern w:val="28"/>
      <w:sz w:val="28"/>
    </w:rPr>
  </w:style>
  <w:style w:type="paragraph" w:customStyle="1" w:styleId="29">
    <w:name w:val="正文文本缩进1"/>
    <w:basedOn w:val="1"/>
    <w:next w:val="30"/>
    <w:qFormat/>
    <w:uiPriority w:val="0"/>
    <w:pPr>
      <w:spacing w:after="120"/>
      <w:ind w:left="200" w:leftChars="200"/>
    </w:pPr>
  </w:style>
  <w:style w:type="paragraph" w:customStyle="1" w:styleId="30">
    <w:name w:val="寄信人地址1"/>
    <w:basedOn w:val="1"/>
    <w:qFormat/>
    <w:uiPriority w:val="0"/>
    <w:pPr>
      <w:snapToGrid w:val="0"/>
    </w:pPr>
    <w:rPr>
      <w:rFonts w:ascii="Arial" w:hAnsi="Arial"/>
    </w:rPr>
  </w:style>
  <w:style w:type="character" w:customStyle="1" w:styleId="31">
    <w:name w:val="font01"/>
    <w:basedOn w:val="20"/>
    <w:qFormat/>
    <w:uiPriority w:val="0"/>
    <w:rPr>
      <w:rFonts w:ascii="Calibri" w:hAnsi="Calibri" w:cs="Calibri"/>
      <w:color w:val="000000"/>
      <w:sz w:val="21"/>
      <w:szCs w:val="21"/>
      <w:u w:val="none"/>
    </w:rPr>
  </w:style>
  <w:style w:type="character" w:customStyle="1" w:styleId="32">
    <w:name w:val="font21"/>
    <w:basedOn w:val="20"/>
    <w:qFormat/>
    <w:uiPriority w:val="0"/>
    <w:rPr>
      <w:rFonts w:hint="eastAsia" w:ascii="宋体" w:hAnsi="宋体" w:eastAsia="宋体" w:cs="宋体"/>
      <w:color w:val="000000"/>
      <w:sz w:val="21"/>
      <w:szCs w:val="21"/>
      <w:u w:val="none"/>
    </w:rPr>
  </w:style>
  <w:style w:type="paragraph" w:styleId="33">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BodyTextIndent2"/>
    <w:basedOn w:val="1"/>
    <w:qFormat/>
    <w:uiPriority w:val="0"/>
    <w:pPr>
      <w:spacing w:line="240" w:lineRule="atLeast"/>
      <w:ind w:firstLine="538" w:firstLineChars="192"/>
    </w:pPr>
    <w:rPr>
      <w:rFonts w:ascii="宋体" w:hAnsi="宋体"/>
      <w:kern w:val="0"/>
      <w:sz w:val="28"/>
    </w:rPr>
  </w:style>
  <w:style w:type="character" w:customStyle="1" w:styleId="35">
    <w:name w:val="NormalCharacter"/>
    <w:qFormat/>
    <w:uiPriority w:val="0"/>
    <w:rPr>
      <w:rFonts w:ascii="Times New Roman" w:hAnsi="Times New Roman" w:eastAsia="宋体"/>
    </w:rPr>
  </w:style>
  <w:style w:type="paragraph" w:customStyle="1" w:styleId="36">
    <w:name w:val="UserStyle_32"/>
    <w:basedOn w:val="1"/>
    <w:qFormat/>
    <w:uiPriority w:val="0"/>
    <w:pPr>
      <w:spacing w:line="400" w:lineRule="exact"/>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33345</Words>
  <Characters>39754</Characters>
  <Lines>0</Lines>
  <Paragraphs>0</Paragraphs>
  <TotalTime>0</TotalTime>
  <ScaleCrop>false</ScaleCrop>
  <LinksUpToDate>false</LinksUpToDate>
  <CharactersWithSpaces>51143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2021-08-27T11:24:00Z</dcterms:created>
  <dc:creator>Administrator</dc:creator>
  <cp:lastModifiedBy>MyPC</cp:lastModifiedBy>
  <cp:lastPrinted>2022-10-18T05:29:00Z</cp:lastPrinted>
  <dcterms:modified xsi:type="dcterms:W3CDTF">2022-12-15T03:28:54Z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5CF52B609D694F39B137C8099FBF4209</vt:lpwstr>
  </property>
</Properties>
</file>